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color w:val="000000"/>
          <w:sz w:val="24"/>
        </w:rPr>
        <w:t>UNITED STATES</w:t>
      </w:r>
      <w:r>
        <w:rPr>
          <w:color w:val="000000"/>
        </w:rPr>
        <w:t xml:space="preserve"> </w:t>
      </w:r>
      <w:r>
        <w:rPr>
          <w:rFonts w:ascii="Times New Roman;serif" w:hAnsi="Times New Roman;serif"/>
          <w:b/>
          <w:color w:val="000000"/>
          <w:sz w:val="24"/>
        </w:rPr>
        <w:br/>
        <w:t>SECURITIES AND EXCHANGE COMMISSION</w:t>
      </w:r>
      <w:r>
        <w:rPr>
          <w:color w:val="000000"/>
        </w:rPr>
        <w:t xml:space="preserve"> </w:t>
      </w:r>
      <w:r>
        <w:rPr>
          <w:rFonts w:ascii="Times New Roman;serif" w:hAnsi="Times New Roman;serif"/>
          <w:b/>
          <w:color w:val="000000"/>
          <w:sz w:val="20"/>
        </w:rPr>
        <w:b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80"/>
        <w:jc w:val="center"/>
        <w:rPr>
          <w:rFonts w:ascii="Times New Roman;serif" w:hAnsi="Times New Roman;serif"/>
          <w:b/>
          <w:color w:val="000000"/>
          <w:sz w:val="24"/>
        </w:rPr>
      </w:pPr>
      <w:r>
        <w:rPr>
          <w:rFonts w:ascii="Times New Roman;serif" w:hAnsi="Times New Roman;serif"/>
          <w:b/>
          <w:color w:val="000000"/>
          <w:sz w:val="24"/>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60"/>
        <w:jc w:val="center"/>
        <w:rPr/>
      </w:pPr>
      <w:r>
        <w:rPr>
          <w:rFonts w:ascii="Times New Roman;serif" w:hAnsi="Times New Roman;serif"/>
          <w:b/>
          <w:color w:val="000000"/>
          <w:sz w:val="20"/>
        </w:rPr>
        <w:t>CURRENT REPORT</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20"/>
        </w:rPr>
        <w:br/>
        <w:t>Pursuant to Section 13 or 15(d) of the Securities Exchange Act of 1934</w:t>
      </w:r>
      <w:r>
        <w:rPr>
          <w:color w:val="000000"/>
        </w:rPr>
        <w:t xml:space="preserve"> </w:t>
      </w:r>
      <w:r>
        <w:rPr>
          <w:rFonts w:ascii="Times New Roman;serif" w:hAnsi="Times New Roman;serif"/>
          <w:b w:val="false"/>
          <w:color w:val="000000"/>
          <w:sz w:val="20"/>
        </w:rPr>
        <w:br/>
        <w:br/>
        <w:t>Date of Report (Date of earliest event reported) May 7, 2026</w:t>
      </w:r>
    </w:p>
    <w:p>
      <w:pPr>
        <w:pStyle w:val="TextBody"/>
        <w:bidi w:val="0"/>
        <w:spacing w:before="220" w:after="200"/>
        <w:jc w:val="center"/>
        <w:rPr/>
      </w:pPr>
      <w:r>
        <w:rPr/>
        <w:drawing>
          <wp:inline distT="0" distB="0" distL="0" distR="0">
            <wp:extent cx="20097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542925"/>
                    </a:xfrm>
                    <a:prstGeom prst="rect">
                      <a:avLst/>
                    </a:prstGeom>
                  </pic:spPr>
                </pic:pic>
              </a:graphicData>
            </a:graphic>
          </wp:inline>
        </w:drawing>
      </w:r>
      <w:bookmarkStart w:id="0" w:name="i-1"/>
      <w:bookmarkEnd w:id="0"/>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80" w:after="80"/>
        <w:jc w:val="center"/>
        <w:rPr/>
      </w:pPr>
      <w:r>
        <w:rPr>
          <w:rFonts w:ascii="Times New Roman;serif" w:hAnsi="Times New Roman;serif"/>
          <w:b/>
          <w:color w:val="000000"/>
          <w:sz w:val="28"/>
        </w:rPr>
        <w:t>Cross Country Healthcare, Inc.</w:t>
      </w:r>
      <w:r>
        <w:rPr>
          <w:color w:val="000000"/>
        </w:rPr>
        <w:t xml:space="preserve"> </w:t>
      </w:r>
      <w:r>
        <w:rPr>
          <w:rFonts w:ascii="Times New Roman;serif" w:hAnsi="Times New Roman;serif"/>
          <w:b w:val="false"/>
          <w:color w:val="000000"/>
          <w:sz w:val="20"/>
        </w:rPr>
        <w:b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129" w:type="dxa"/>
        <w:jc w:val="left"/>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0-33169</w:t>
            </w:r>
          </w:p>
        </w:tc>
        <w:tc>
          <w:tcPr>
            <w:tcW w:w="1649"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13-4066229</w:t>
            </w:r>
          </w:p>
        </w:tc>
      </w:tr>
      <w:tr>
        <w:trPr/>
        <w:tc>
          <w:tcPr>
            <w:tcW w:w="2294" w:type="dxa"/>
            <w:gridSpan w:val="3"/>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33"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33" w:before="0" w:after="4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33"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333" w:before="180" w:after="283"/>
        <w:jc w:val="center"/>
        <w:rPr/>
      </w:pPr>
      <w:r>
        <w:rPr>
          <w:rFonts w:ascii="Times New Roman;serif" w:hAnsi="Times New Roman;serif"/>
          <w:b/>
          <w:color w:val="000000"/>
          <w:sz w:val="20"/>
        </w:rPr>
        <w:t>5201 Congress Avenue, Suite 160 Boca Raton, FL 33487</w:t>
      </w:r>
      <w:r>
        <w:rPr>
          <w:rFonts w:ascii="Times New Roman;serif" w:hAnsi="Times New Roman;serif"/>
          <w:b w:val="false"/>
          <w:color w:val="000000"/>
          <w:sz w:val="20"/>
        </w:rPr>
        <w:br/>
        <w:t xml:space="preserve">(Address of Principal Executive Office) (Zip Code) </w:t>
        <w:br/>
      </w:r>
      <w:r>
        <w:rPr>
          <w:rFonts w:ascii="Times New Roman;serif" w:hAnsi="Times New Roman;serif"/>
          <w:b/>
          <w:color w:val="000000"/>
          <w:sz w:val="20"/>
        </w:rPr>
        <w:t>(561) 998-2232</w:t>
      </w:r>
      <w:r>
        <w:rPr>
          <w:color w:val="000000"/>
        </w:rPr>
        <w:t xml:space="preserve"> </w:t>
      </w:r>
      <w:r>
        <w:rPr>
          <w:rFonts w:ascii="Times New Roman;serif" w:hAnsi="Times New Roman;serif"/>
          <w:b w:val="false"/>
          <w:color w:val="000000"/>
          <w:sz w:val="20"/>
        </w:rPr>
        <w:br/>
        <w:t xml:space="preserve">(Registrant’s telephone number, including area code) </w:t>
        <w:br/>
      </w:r>
      <w:r>
        <w:rPr>
          <w:rFonts w:ascii="Times New Roman;serif" w:hAnsi="Times New Roman;serif"/>
          <w:b/>
          <w:color w:val="000000"/>
          <w:sz w:val="20"/>
        </w:rPr>
        <w:t>Not Applicable</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33"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lineRule="auto" w:line="333" w:before="120" w:after="283"/>
        <w:jc w:val="left"/>
        <w:rPr>
          <w:color w:val="000000"/>
        </w:rPr>
      </w:pPr>
      <w:r>
        <w:rPr>
          <w:color w:val="000000"/>
        </w:rPr>
        <w:t>    </w:t>
      </w:r>
      <w:r>
        <w:rPr>
          <w:rFonts w:ascii="Times New Roman;serif" w:hAnsi="Times New Roman;serif"/>
          <w:b/>
          <w:color w:val="000000"/>
          <w:sz w:val="18"/>
        </w:rPr>
        <w:t>Title of each class                 Trading Symbol         Name of each exchange on which registered</w:t>
      </w:r>
    </w:p>
    <w:p>
      <w:pPr>
        <w:pStyle w:val="TextBody"/>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$0.0001 per share          CCRN            The Nasdaq Stock Market LLC</w:t>
      </w:r>
    </w:p>
    <w:p>
      <w:pPr>
        <w:pStyle w:val="TextBody"/>
        <w:bidi w:val="0"/>
        <w:spacing w:lineRule="auto" w:line="333" w:before="2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33"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33"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33"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33"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or Rule 12b-2 of the Securities Exchange Act of 1934 (§240.12b-2).</w:t>
      </w:r>
    </w:p>
    <w:p>
      <w:pPr>
        <w:pStyle w:val="TextBody"/>
        <w:bidi w:val="0"/>
        <w:spacing w:lineRule="auto" w:line="333" w:before="0" w:after="60"/>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Section 2 – Financial Information</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(a)  On May 7, 2026, Cross Country Healthcare, Inc. (“the Company”) issued a press release announcing results for the quarter ended March 31, 2026, a copy of which is attached as Exhibit 99.1 to this Current Report on Form 8-K. This information is being furnished under Item 2.02 and shall not be deemed “filed” for purposes of Section 18 of the Securities Exchange Act of 1934, as amended, or otherwise subject to the liability of such section.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Section 7 – Regulation FD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Incorporated by reference is a press release issued by the Company on May 7, 2026, which is attached hereto as Exhibit 99.1. This information is being furnished under Item 7.01 and shall not be deemed “filed” for purposes of Section 18 of the Securities Exchange Act of 1934, as amended, or otherwise subject to the liability of such section.</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0" w:type="dxa"/>
        <w:jc w:val="left"/>
        <w:tblInd w:w="0" w:type="dxa"/>
        <w:tblLayout w:type="fixed"/>
        <w:tblCellMar>
          <w:top w:w="28" w:type="dxa"/>
          <w:left w:w="28" w:type="dxa"/>
          <w:bottom w:w="28" w:type="dxa"/>
          <w:right w:w="28" w:type="dxa"/>
        </w:tblCellMar>
      </w:tblPr>
      <w:tblGrid>
        <w:gridCol w:w="124"/>
        <w:gridCol w:w="109"/>
        <w:gridCol w:w="109"/>
        <w:gridCol w:w="240"/>
        <w:gridCol w:w="240"/>
        <w:gridCol w:w="241"/>
        <w:gridCol w:w="109"/>
        <w:gridCol w:w="109"/>
        <w:gridCol w:w="109"/>
        <w:gridCol w:w="1933"/>
        <w:gridCol w:w="1933"/>
        <w:gridCol w:w="2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60331pr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60331prexhibit991.htm">
              <w:r>
                <w:rPr>
                  <w:rStyle w:val="InternetLink"/>
                  <w:rFonts w:ascii="Times New Roman;serif" w:hAnsi="Times New Roman;serif"/>
                  <w:b w:val="false"/>
                  <w:color w:val="0000FF"/>
                  <w:sz w:val="20"/>
                  <w:u w:val="single"/>
                  <w:shd w:fill="FFFFFF" w:val="clear"/>
                </w:rPr>
                <w:t>Press Release issued by the Company on May 7,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20" w:after="1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tbl>
      <w:tblPr>
        <w:tblW w:w="7754"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391"/>
        <w:gridCol w:w="391"/>
        <w:gridCol w:w="391"/>
        <w:gridCol w:w="889"/>
        <w:gridCol w:w="889"/>
        <w:gridCol w:w="889"/>
        <w:gridCol w:w="615"/>
        <w:gridCol w:w="615"/>
        <w:gridCol w:w="88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CROSS COUNTRY HEALTHCARE, INC.</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22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6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Burns</w:t>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William J. Burns</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&amp;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99.1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20" w:after="283"/>
        <w:jc w:val="center"/>
        <w:rPr/>
      </w:pPr>
      <w:r>
        <w:rPr/>
      </w:r>
    </w:p>
    <w:p>
      <w:pPr>
        <w:pStyle w:val="TextBody"/>
        <w:bidi w:val="0"/>
        <w:spacing w:lineRule="auto" w:line="240" w:before="220" w:after="283"/>
        <w:jc w:val="center"/>
        <w:rPr>
          <w:rFonts w:ascii="Times New Roman;serif" w:hAnsi="Times New Roman;serif"/>
          <w:b/>
          <w:color w:val="000000"/>
          <w:sz w:val="24"/>
        </w:rPr>
      </w:pPr>
      <w:r>
        <w:rPr>
          <w:rFonts w:ascii="Times New Roman;serif" w:hAnsi="Times New Roman;serif"/>
          <w:b/>
          <w:color w:val="000000"/>
          <w:sz w:val="24"/>
        </w:rPr>
        <w:t xml:space="preserve">CROSS COUNTRY HEALTHCARE ANNOUNCES FIRST QUARTER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2026 FINANCIAL RESULTS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BOCA RATON, Fla., May 7, 2026--Cross Country Healthcare, Inc. (the Company) (Nasdaq: CCRN) today announced financial results for its first quarter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Selected Financial Information:</w:t>
      </w:r>
    </w:p>
    <w:tbl>
      <w:tblPr>
        <w:tblW w:w="9892" w:type="dxa"/>
        <w:jc w:val="center"/>
        <w:tblInd w:w="0" w:type="dxa"/>
        <w:tblLayout w:type="fixed"/>
        <w:tblCellMar>
          <w:top w:w="28" w:type="dxa"/>
          <w:left w:w="28" w:type="dxa"/>
          <w:bottom w:w="28" w:type="dxa"/>
          <w:right w:w="28" w:type="dxa"/>
        </w:tblCellMar>
      </w:tblPr>
      <w:tblGrid>
        <w:gridCol w:w="1772"/>
        <w:gridCol w:w="1555"/>
        <w:gridCol w:w="1563"/>
        <w:gridCol w:w="226"/>
        <w:gridCol w:w="946"/>
        <w:gridCol w:w="109"/>
        <w:gridCol w:w="109"/>
        <w:gridCol w:w="109"/>
        <w:gridCol w:w="109"/>
        <w:gridCol w:w="226"/>
        <w:gridCol w:w="676"/>
        <w:gridCol w:w="109"/>
        <w:gridCol w:w="145"/>
        <w:gridCol w:w="145"/>
        <w:gridCol w:w="146"/>
        <w:gridCol w:w="226"/>
        <w:gridCol w:w="586"/>
        <w:gridCol w:w="109"/>
        <w:gridCol w:w="145"/>
        <w:gridCol w:w="145"/>
        <w:gridCol w:w="146"/>
        <w:gridCol w:w="109"/>
        <w:gridCol w:w="109"/>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left w:val="single" w:sz="8" w:space="0" w:color="000000"/>
            </w:tcBorders>
            <w:shd w:fill="80C9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80C9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80C9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6"/>
            <w:tcBorders>
              <w:top w:val="single" w:sz="8" w:space="0" w:color="000000"/>
            </w:tcBorders>
            <w:shd w:fill="80C9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Variance</w:t>
            </w:r>
          </w:p>
        </w:tc>
        <w:tc>
          <w:tcPr>
            <w:tcW w:w="1357" w:type="dxa"/>
            <w:gridSpan w:val="6"/>
            <w:tcBorders>
              <w:top w:val="single" w:sz="8" w:space="0" w:color="000000"/>
              <w:right w:val="single" w:sz="8" w:space="0" w:color="000000"/>
            </w:tcBorders>
            <w:shd w:fill="80C9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tcBorders>
            <w:shd w:fill="80C9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80C9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80C9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6"/>
            <w:tcBorders/>
            <w:shd w:fill="80C9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Q1 2026 vs</w:t>
            </w:r>
          </w:p>
        </w:tc>
        <w:tc>
          <w:tcPr>
            <w:tcW w:w="1357" w:type="dxa"/>
            <w:gridSpan w:val="6"/>
            <w:tcBorders>
              <w:right w:val="single" w:sz="8" w:space="0" w:color="000000"/>
            </w:tcBorders>
            <w:shd w:fill="80C9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Q1 2026 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tcBorders>
            <w:shd w:fill="80C9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Dollars are in thousands, except per share amounts</w:t>
            </w:r>
          </w:p>
        </w:tc>
        <w:tc>
          <w:tcPr>
            <w:tcW w:w="1608" w:type="dxa"/>
            <w:gridSpan w:val="6"/>
            <w:tcBorders/>
            <w:shd w:fill="80C9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Q1 2026</w:t>
            </w:r>
          </w:p>
        </w:tc>
        <w:tc>
          <w:tcPr>
            <w:tcW w:w="1447" w:type="dxa"/>
            <w:gridSpan w:val="6"/>
            <w:tcBorders/>
            <w:shd w:fill="80C9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Q1 2025</w:t>
            </w:r>
          </w:p>
        </w:tc>
        <w:tc>
          <w:tcPr>
            <w:tcW w:w="1357" w:type="dxa"/>
            <w:gridSpan w:val="6"/>
            <w:tcBorders>
              <w:right w:val="single" w:sz="8" w:space="0" w:color="000000"/>
            </w:tcBorders>
            <w:shd w:fill="80C9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tcBorders>
            <w:shd w:fill="F1EEE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 margin*</w:t>
            </w:r>
          </w:p>
        </w:tc>
        <w:tc>
          <w:tcPr>
            <w:tcW w:w="1172" w:type="dxa"/>
            <w:gridSpan w:val="2"/>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19.7 </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gridSpan w:val="2"/>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1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bps</w:t>
            </w:r>
          </w:p>
        </w:tc>
        <w:tc>
          <w:tcPr>
            <w:tcW w:w="812" w:type="dxa"/>
            <w:gridSpan w:val="2"/>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right w:val="single" w:sz="8" w:space="0" w:color="000000"/>
            </w:tcBorders>
            <w:shd w:fill="F1EEEE"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loss attributable to common stockholders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tcBorders>
            <w:shd w:fill="F1EEE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226" w:type="dxa"/>
            <w:tcBorders/>
            <w:shd w:fill="F1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(0.14)</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1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1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2.42 </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right w:val="single" w:sz="8" w:space="0" w:color="000000"/>
            </w:tcBorders>
            <w:shd w:fill="F1EE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tcBorders>
            <w:shd w:fill="F1EEE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 margin*</w:t>
            </w:r>
          </w:p>
        </w:tc>
        <w:tc>
          <w:tcPr>
            <w:tcW w:w="1172" w:type="dxa"/>
            <w:gridSpan w:val="2"/>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gridSpan w:val="2"/>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1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bps</w:t>
            </w:r>
          </w:p>
        </w:tc>
        <w:tc>
          <w:tcPr>
            <w:tcW w:w="812" w:type="dxa"/>
            <w:gridSpan w:val="2"/>
            <w:tcBorders/>
            <w:shd w:fill="F1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109" w:type="dxa"/>
            <w:tcBorders/>
            <w:shd w:fill="F1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right w:val="single" w:sz="8" w:space="0" w:color="000000"/>
            </w:tcBorders>
            <w:shd w:fill="F1EEEE"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EPS*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left w:val="single" w:sz="8" w:space="0" w:color="000000"/>
              <w:bottom w:val="single" w:sz="8" w:space="0" w:color="000000"/>
            </w:tcBorders>
            <w:shd w:fill="F1EEEE"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flows provided by operations</w:t>
            </w:r>
          </w:p>
        </w:tc>
        <w:tc>
          <w:tcPr>
            <w:tcW w:w="226" w:type="dxa"/>
            <w:tcBorders>
              <w:bottom w:val="single" w:sz="8" w:space="0" w:color="000000"/>
            </w:tcBorders>
            <w:shd w:fill="F1EE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bottom w:val="single" w:sz="8" w:space="0" w:color="000000"/>
            </w:tcBorders>
            <w:shd w:fill="F1EE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4,767 </w:t>
            </w:r>
          </w:p>
        </w:tc>
        <w:tc>
          <w:tcPr>
            <w:tcW w:w="109" w:type="dxa"/>
            <w:tcBorders>
              <w:bottom w:val="single" w:sz="8" w:space="0" w:color="000000"/>
            </w:tcBorders>
            <w:shd w:fill="F1EE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1EE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000000"/>
            </w:tcBorders>
            <w:shd w:fill="F1EE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109" w:type="dxa"/>
            <w:tcBorders>
              <w:bottom w:val="single" w:sz="8" w:space="0" w:color="000000"/>
            </w:tcBorders>
            <w:shd w:fill="F1EE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shd w:fill="F1EE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12" w:type="dxa"/>
            <w:gridSpan w:val="2"/>
            <w:tcBorders>
              <w:bottom w:val="single" w:sz="8" w:space="0" w:color="000000"/>
            </w:tcBorders>
            <w:shd w:fill="F1EE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c>
          <w:tcPr>
            <w:tcW w:w="109" w:type="dxa"/>
            <w:tcBorders>
              <w:bottom w:val="single" w:sz="8" w:space="0" w:color="000000"/>
            </w:tcBorders>
            <w:shd w:fill="F1EE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right w:val="single" w:sz="8" w:space="0" w:color="000000"/>
            </w:tcBorders>
            <w:shd w:fill="F1EEEE" w:val="clear"/>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18"/>
        </w:rPr>
        <w:t>* Represents a</w:t>
      </w:r>
      <w:r>
        <w:rPr>
          <w:rFonts w:ascii="Times New Roman;serif" w:hAnsi="Times New Roman;serif"/>
          <w:b w:val="false"/>
          <w:color w:val="000000"/>
          <w:sz w:val="20"/>
        </w:rPr>
        <w:t xml:space="preserve">mounts that are not calculated in accordance with U.S. generally accepted accounting principles (GAAP) and are referred to as non-GAAP measures. Please refer to </w:t>
      </w:r>
      <w:r>
        <w:rPr>
          <w:rFonts w:ascii="Times New Roman;serif" w:hAnsi="Times New Roman;serif"/>
          <w:b w:val="false"/>
          <w:color w:val="000000"/>
          <w:sz w:val="20"/>
          <w:shd w:fill="FFFFFF" w:val="clear"/>
        </w:rPr>
        <w:t xml:space="preserve">the accompanying discussion below of how these non-GAAP financial measures are calculated and used under “Non-GAAP Financial Measures” and the tables reconciling these measures to the closest GAAP measure. </w:t>
      </w:r>
    </w:p>
    <w:p>
      <w:pPr>
        <w:pStyle w:val="TextBody"/>
        <w:bidi w:val="0"/>
        <w:spacing w:before="0" w:after="0"/>
        <w:jc w:val="left"/>
        <w:rPr/>
      </w:pPr>
      <w:r>
        <w:rPr/>
      </w:r>
    </w:p>
    <w:p>
      <w:pPr>
        <w:pStyle w:val="TextBody"/>
        <w:bidi w:val="0"/>
        <w:spacing w:lineRule="auto" w:line="276" w:before="60" w:after="283"/>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First Quarter Business Highlights</w:t>
      </w:r>
    </w:p>
    <w:p>
      <w:pPr>
        <w:pStyle w:val="TextBody"/>
        <w:bidi w:val="0"/>
        <w:spacing w:before="0" w:after="0"/>
        <w:jc w:val="left"/>
        <w:rPr/>
      </w:pPr>
      <w:r>
        <w:rPr/>
      </w:r>
    </w:p>
    <w:p>
      <w:pPr>
        <w:pStyle w:val="TextBody"/>
        <w:bidi w:val="0"/>
        <w:spacing w:lineRule="auto" w:line="288" w:before="0" w:after="0"/>
        <w:ind w:left="0" w:right="0" w:firstLine="180"/>
        <w:jc w:val="both"/>
        <w:rPr/>
      </w:pPr>
      <w:r>
        <w:rPr>
          <w:color w:val="000000"/>
        </w:rPr>
        <w:t xml:space="preserve">• </w:t>
      </w:r>
      <w:r>
        <w:rPr>
          <w:rFonts w:ascii="Times New Roman;serif" w:hAnsi="Times New Roman;serif"/>
          <w:b w:val="false"/>
          <w:color w:val="000000"/>
          <w:sz w:val="24"/>
        </w:rPr>
        <w:t>Revenue exceeded guidance range, with Travel Nurse and Allied growing 7% sequentially</w:t>
      </w:r>
    </w:p>
    <w:p>
      <w:pPr>
        <w:pStyle w:val="TextBody"/>
        <w:bidi w:val="0"/>
        <w:spacing w:lineRule="auto" w:line="288" w:before="0" w:after="0"/>
        <w:ind w:left="0" w:right="0" w:firstLine="180"/>
        <w:jc w:val="both"/>
        <w:rPr/>
      </w:pPr>
      <w:r>
        <w:rPr>
          <w:color w:val="000000"/>
        </w:rPr>
        <w:t xml:space="preserve">• </w:t>
      </w:r>
      <w:r>
        <w:rPr>
          <w:rFonts w:ascii="Times New Roman;serif" w:hAnsi="Times New Roman;serif"/>
          <w:b w:val="false"/>
          <w:color w:val="000000"/>
          <w:sz w:val="24"/>
        </w:rPr>
        <w:t>Cross Country Community Care experienced 16% year-over-year revenue growth</w:t>
      </w:r>
    </w:p>
    <w:p>
      <w:pPr>
        <w:pStyle w:val="TextBody"/>
        <w:bidi w:val="0"/>
        <w:spacing w:lineRule="auto" w:line="288" w:before="0" w:after="0"/>
        <w:ind w:left="0" w:right="0" w:firstLine="180"/>
        <w:jc w:val="both"/>
        <w:rPr/>
      </w:pPr>
      <w:r>
        <w:rPr>
          <w:color w:val="000000"/>
        </w:rPr>
        <w:t xml:space="preserve">• </w:t>
      </w:r>
      <w:r>
        <w:rPr>
          <w:rFonts w:ascii="Times New Roman;serif" w:hAnsi="Times New Roman;serif"/>
          <w:b w:val="false"/>
          <w:color w:val="000000"/>
          <w:sz w:val="24"/>
        </w:rPr>
        <w:t>Signed 4 new MSP/VMS agreements</w:t>
      </w:r>
    </w:p>
    <w:p>
      <w:pPr>
        <w:pStyle w:val="TextBody"/>
        <w:bidi w:val="0"/>
        <w:spacing w:lineRule="auto" w:line="288" w:before="0" w:after="0"/>
        <w:ind w:left="0" w:right="0" w:firstLine="180"/>
        <w:jc w:val="both"/>
        <w:rPr/>
      </w:pPr>
      <w:r>
        <w:rPr>
          <w:color w:val="000000"/>
        </w:rPr>
        <w:t xml:space="preserve">• </w:t>
      </w:r>
      <w:r>
        <w:rPr>
          <w:rFonts w:ascii="Times New Roman;serif" w:hAnsi="Times New Roman;serif"/>
          <w:b w:val="false"/>
          <w:color w:val="000000"/>
          <w:sz w:val="24"/>
        </w:rPr>
        <w:t>Licensed Intellify</w:t>
      </w:r>
      <w:r>
        <w:rPr>
          <w:rFonts w:ascii="Times New Roman;serif" w:hAnsi="Times New Roman;serif"/>
          <w:b w:val="false"/>
          <w:color w:val="000000"/>
          <w:sz w:val="12"/>
        </w:rPr>
        <w:t>®</w:t>
      </w:r>
      <w:r>
        <w:rPr>
          <w:rFonts w:ascii="Times New Roman;serif" w:hAnsi="Times New Roman;serif"/>
          <w:b w:val="false"/>
          <w:color w:val="000000"/>
          <w:sz w:val="24"/>
        </w:rPr>
        <w:t>, our workforce intelligence platform, to a top ten healthcare staffing provider</w:t>
      </w:r>
    </w:p>
    <w:p>
      <w:pPr>
        <w:pStyle w:val="TextBody"/>
        <w:bidi w:val="0"/>
        <w:spacing w:lineRule="auto" w:line="288" w:before="0" w:after="0"/>
        <w:ind w:left="0" w:right="0" w:firstLine="180"/>
        <w:jc w:val="both"/>
        <w:rPr/>
      </w:pPr>
      <w:r>
        <w:rPr>
          <w:color w:val="000000"/>
        </w:rPr>
        <w:t xml:space="preserve">• </w:t>
      </w:r>
      <w:r>
        <w:rPr>
          <w:rFonts w:ascii="Times New Roman;serif" w:hAnsi="Times New Roman;serif"/>
          <w:b w:val="false"/>
          <w:color w:val="000000"/>
          <w:sz w:val="24"/>
        </w:rPr>
        <w:t>Repurchased over 650,000 shares, or 2.1% of shares outstanding</w:t>
      </w:r>
    </w:p>
    <w:p>
      <w:pPr>
        <w:pStyle w:val="TextBody"/>
        <w:bidi w:val="0"/>
        <w:spacing w:lineRule="auto" w:line="288" w:before="0" w:after="0"/>
        <w:ind w:left="0" w:right="0" w:firstLine="180"/>
        <w:jc w:val="both"/>
        <w:rPr/>
      </w:pPr>
      <w:r>
        <w:rPr>
          <w:color w:val="000000"/>
        </w:rPr>
        <w:t xml:space="preserve">• </w:t>
      </w:r>
      <w:r>
        <w:rPr>
          <w:rFonts w:ascii="Times New Roman;serif" w:hAnsi="Times New Roman;serif"/>
          <w:b w:val="false"/>
          <w:color w:val="000000"/>
          <w:sz w:val="24"/>
        </w:rPr>
        <w:t>Closed the quarter with $105.6 million in cash and no debt</w:t>
      </w:r>
    </w:p>
    <w:p>
      <w:pPr>
        <w:pStyle w:val="TextBody"/>
        <w:bidi w:val="0"/>
        <w:spacing w:lineRule="auto" w:line="288" w:before="0" w:after="0"/>
        <w:ind w:left="0" w:right="0" w:firstLine="180"/>
        <w:jc w:val="both"/>
        <w:rPr/>
      </w:pPr>
      <w:r>
        <w:rPr>
          <w:color w:val="000000"/>
        </w:rPr>
        <w:t xml:space="preserve">• </w:t>
      </w:r>
      <w:r>
        <w:rPr>
          <w:rFonts w:ascii="Times New Roman;serif" w:hAnsi="Times New Roman;serif"/>
          <w:b w:val="false"/>
          <w:color w:val="000000"/>
          <w:sz w:val="24"/>
        </w:rPr>
        <w:t>Positive cash flow from operations of $4.8 million for the quarter</w:t>
      </w:r>
    </w:p>
    <w:p>
      <w:pPr>
        <w:pStyle w:val="TextBody"/>
        <w:bidi w:val="0"/>
        <w:spacing w:before="0" w:after="0"/>
        <w:ind w:left="0" w:right="0" w:firstLine="540"/>
        <w:jc w:val="both"/>
        <w:rPr/>
      </w:pPr>
      <w:r>
        <w:rPr/>
      </w:r>
    </w:p>
    <w:p>
      <w:pPr>
        <w:pStyle w:val="TextBody"/>
        <w:bidi w:val="0"/>
        <w:spacing w:lineRule="auto" w:line="268" w:before="0" w:after="0"/>
        <w:jc w:val="left"/>
        <w:rPr/>
      </w:pPr>
      <w:r>
        <w:rPr>
          <w:color w:val="000000"/>
          <w:shd w:fill="FFFFFF" w:val="clear"/>
        </w:rPr>
        <w:t>“</w:t>
      </w:r>
      <w:r>
        <w:rPr>
          <w:rFonts w:ascii="Times New Roman;serif" w:hAnsi="Times New Roman;serif"/>
          <w:b w:val="false"/>
          <w:color w:val="000000"/>
          <w:sz w:val="24"/>
          <w:shd w:fill="FFFFFF" w:val="clear"/>
        </w:rPr>
        <w:t>We ended the first quarter with positive momentum, underscored by sequential revenue growth and several new MSP wins and expansions,” said Kevin C. Clark, Co-Founder, Chairman and Chief Executive Officer. He continued, “</w:t>
      </w:r>
      <w:r>
        <w:rPr>
          <w:rFonts w:ascii="Times New Roman;serif" w:hAnsi="Times New Roman;serif"/>
          <w:b w:val="false"/>
          <w:color w:val="000000"/>
          <w:sz w:val="24"/>
        </w:rPr>
        <w:t xml:space="preserve">As we await the closing of the pending transaction with </w:t>
      </w:r>
      <w:r>
        <w:rPr>
          <w:rFonts w:ascii="Times New Roman;serif" w:hAnsi="Times New Roman;serif"/>
          <w:b w:val="false"/>
          <w:color w:val="000000"/>
          <w:sz w:val="24"/>
          <w:shd w:fill="FFFFFF" w:val="clear"/>
        </w:rPr>
        <w:t>Knox Lane</w:t>
      </w:r>
      <w:r>
        <w:rPr>
          <w:color w:val="000000"/>
        </w:rPr>
        <w:t xml:space="preserve"> </w:t>
      </w:r>
      <w:r>
        <w:rPr>
          <w:rFonts w:ascii="Times New Roman;serif" w:hAnsi="Times New Roman;serif"/>
          <w:b w:val="false"/>
          <w:color w:val="000000"/>
          <w:sz w:val="24"/>
        </w:rPr>
        <w:t>in the third quarter, our focus remains on disciplined execution and advancing our technology initiatives to support our clients’ evolving workforce needs</w:t>
      </w:r>
      <w:r>
        <w:rPr>
          <w:rFonts w:ascii="Times New Roman;serif" w:hAnsi="Times New Roman;serif"/>
          <w:b w:val="false"/>
          <w:color w:val="000000"/>
          <w:sz w:val="24"/>
          <w:shd w:fill="FFFFFF" w:val="clear"/>
        </w:rPr>
        <w:t>.”</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First quarter consolidated revenue was $241.1 million, a decrease of 18% year-over-year and an increase 2% sequentially. Consolidated gross profit margin was 19.7%, a decrease of 30 basis points year-over-year and 60 basis points sequentially. Net loss attributable to common stockholders was $4.3 million, as compared to net loss of $0.5 million in the prior year and a net loss of $82.9 million in the prior quarter.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99.1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Diluted earnings per share (EPS) was a net loss of $0.14, as compared to net loss of $0.02 in the prior year and a net loss of $2.56 in the prior quarter. Adjusted earnings before interest, taxes, depreciation, and amortization (EBITDA) was $3.9 million, or 1.6% of revenue, as compared with $8.6 million, or 2.9% of revenue, in the prior year, and $4.1 million, or 1.7% of revenue, in the prior quarter. Adjusted EPS was a net loss of $0.03, as compared to net income of $0.06 in the prior year and a net loss of $0.06 in the prior quarter.</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4"/>
        </w:rPr>
      </w:pPr>
      <w:r>
        <w:rPr>
          <w:rFonts w:ascii="Times New Roman;serif" w:hAnsi="Times New Roman;serif"/>
          <w:b/>
          <w:color w:val="000000"/>
          <w:sz w:val="24"/>
        </w:rPr>
        <w:t xml:space="preserve">Quarterly Business Segment Highlights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Nurse and Allied Staffing</w:t>
      </w:r>
    </w:p>
    <w:p>
      <w:pPr>
        <w:pStyle w:val="TextBody"/>
        <w:bidi w:val="0"/>
        <w:spacing w:lineRule="auto" w:line="26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Revenue was $201.4 million, a decrease of 17% year-over-year and an increase of 4% sequentially. Contribution income was $12.7 million, as compared to $17.2 million in the prior year and $12.6 million in the prior quarter. Average field contract personnel on a full-time equivalent (FTE) basis was 6,363, as compared with 7,411 in the prior year and 6,318 in the prior quarter. Revenue per FTE per day was $351, as compared to $360 in the prior year and $333 in the prior quarter. </w:t>
      </w:r>
    </w:p>
    <w:p>
      <w:pPr>
        <w:pStyle w:val="TextBody"/>
        <w:bidi w:val="0"/>
        <w:spacing w:lineRule="auto" w:line="288" w:before="120" w:after="283"/>
        <w:jc w:val="left"/>
        <w:rPr>
          <w:rFonts w:ascii="Times New Roman;serif" w:hAnsi="Times New Roman;serif"/>
          <w:b w:val="false"/>
          <w:i/>
          <w:color w:val="000000"/>
          <w:sz w:val="24"/>
        </w:rPr>
      </w:pPr>
      <w:r>
        <w:rPr>
          <w:rFonts w:ascii="Times New Roman;serif" w:hAnsi="Times New Roman;serif"/>
          <w:b w:val="false"/>
          <w:i/>
          <w:color w:val="000000"/>
          <w:sz w:val="24"/>
        </w:rPr>
        <w:t>Physician Staffing</w:t>
      </w:r>
    </w:p>
    <w:p>
      <w:pPr>
        <w:pStyle w:val="TextBody"/>
        <w:bidi w:val="0"/>
        <w:spacing w:lineRule="auto" w:line="288" w:before="120" w:after="283"/>
        <w:jc w:val="both"/>
        <w:rPr/>
      </w:pPr>
      <w:r>
        <w:rPr>
          <w:rFonts w:ascii="Times New Roman;serif" w:hAnsi="Times New Roman;serif"/>
          <w:b w:val="false"/>
          <w:color w:val="000000"/>
          <w:sz w:val="24"/>
        </w:rPr>
        <w:t xml:space="preserve">Revenue was $39.6 million, a decrease of 23% year-over-year and 7% sequentially. Contribution income was $2.8 million, as compared to $4.0 million in the prior year and $3.3 million in the prior quarter. Total days filled were 17,688, as compared with 22,692 in the prior year and 18,599 in the prior quarter. Revenue per day filled was $2,240, as compared with $2,253 in the prior year and $2,286 in </w:t>
      </w:r>
      <w:r>
        <w:rPr>
          <w:rFonts w:ascii="Times New Roman;serif" w:hAnsi="Times New Roman;serif"/>
          <w:b w:val="false"/>
          <w:color w:val="000000"/>
          <w:sz w:val="24"/>
          <w:shd w:fill="FFFFFF" w:val="clear"/>
        </w:rPr>
        <w:t>the prior quarter. </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Cash Flow and Balance Sheet Highlights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Net cash provided by operating activities for the three months ended March 31, 2026 was $4.8 million, as compared to $5.7 million for the three months ended March 31, 2025 and $18.2 million for the three months ended December 31, 2025. During the fourth quarter of 2025, the Company received a termination fee of $20.0 million related to the termination of the agreement and plan of merger that contemplated the Company’s proposed merger with Aya Healthcare, Inc. (the Aya Merger), which was recorded within operating cash flows.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first quarter of 2026, the Company repurchased a total of 0.7 million shares of its common stock for an aggregate price of $5.8 million, at an average market price of $8.86 per share. As of March 31, 2026, the Company had 31.2 million unrestricted shares outstanding and $28.1 million remaining for share repurchase. </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As of March 31, 2026, the Company had $105.6 million in cash and cash equivalents with no debt outstanding. There were no borrowings drawn under its revolving senior secured asset-based credit facility (ABL). As of March 31, 2026, borrowing base availability under the ABL was $109.3 million, with $91.0 million of availability net of $18.3 million of letters of credit.</w:t>
      </w:r>
    </w:p>
    <w:p>
      <w:pPr>
        <w:pStyle w:val="TextBody"/>
        <w:bidi w:val="0"/>
        <w:spacing w:before="120" w:after="283"/>
        <w:jc w:val="both"/>
        <w:rPr/>
      </w:pPr>
      <w:r>
        <w:rPr/>
      </w:r>
    </w:p>
    <w:p>
      <w:pPr>
        <w:pStyle w:val="TextBody"/>
        <w:bidi w:val="0"/>
        <w:spacing w:before="0" w:after="0"/>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99.1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60" w:after="283"/>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CONFERENCE CALL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On May 6, 2026, the Company entered into an Agreement and Plan of Merger with KL Criss Cross Intermediate, LLC, a Delaware corporation (Parent), and KL Criss Cross Merger Sub, Inc., a Delaware corporation and a wholly owned subsidiary of Parent (Merger Sub), pursuant to which Merger Sub will merge with and into the Company (Merger), with the Company surviving as a wholly owned subsidiary of Parent. If the Merger is consummated, the Company’s securities will be delisted from the Nasdaq Global Select Market and deregistered under the Securities Exchange Act of 1934, as amended, as promptly as practicable after the effective time of the Merger. In consideration of the proposed Merger, the Company is canceling its earnings conference call to discuss its first quarter 2026 financial results, which was previously scheduled to be held on May 7,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CROSS COUNTRY HEALTHCARE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Cross Country Healthcare, Inc. (Nasdaq: CCRN) is a healthcare workforce solutions company delivering an AI-powered digital platform and advisory services, backed by nearly 40 years of healthcare labor expertise, to help health systems optimize and sustain their entire labor ecosystem.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Through Intellify</w:t>
      </w:r>
      <w:r>
        <w:rPr>
          <w:rFonts w:ascii="Times New Roman;serif" w:hAnsi="Times New Roman;serif"/>
          <w:b w:val="false"/>
          <w:color w:val="000000"/>
          <w:sz w:val="16"/>
        </w:rPr>
        <w:t>®</w:t>
      </w:r>
      <w:r>
        <w:rPr>
          <w:rFonts w:ascii="Times New Roman;serif" w:hAnsi="Times New Roman;serif"/>
          <w:b w:val="false"/>
          <w:color w:val="000000"/>
          <w:sz w:val="24"/>
        </w:rPr>
        <w:t>, Cross Country’s cloud-based workforce management and vendor management system, health systems gain clear visibility across internal and contingent labor. Intel</w:t>
      </w:r>
      <w:r>
        <w:rPr>
          <w:rFonts w:ascii="Times New Roman;serif" w:hAnsi="Times New Roman;serif"/>
          <w:b w:val="false"/>
          <w:color w:val="000000"/>
          <w:sz w:val="24"/>
          <w:shd w:fill="FFFFFF" w:val="clear"/>
        </w:rPr>
        <w:t>lify</w:t>
      </w:r>
      <w:r>
        <w:rPr>
          <w:rFonts w:ascii="Times New Roman;serif" w:hAnsi="Times New Roman;serif"/>
          <w:b w:val="false"/>
          <w:color w:val="000000"/>
          <w:sz w:val="16"/>
          <w:shd w:fill="FFFFFF" w:val="clear"/>
        </w:rPr>
        <w:t>®</w:t>
      </w:r>
      <w:r>
        <w:rPr>
          <w:color w:val="000000"/>
          <w:shd w:fill="FFFFFF" w:val="clear"/>
        </w:rPr>
        <w:t xml:space="preserve"> </w:t>
      </w:r>
      <w:r>
        <w:rPr>
          <w:rFonts w:ascii="Times New Roman;serif" w:hAnsi="Times New Roman;serif"/>
          <w:b w:val="false"/>
          <w:color w:val="000000"/>
          <w:sz w:val="24"/>
          <w:shd w:fill="FFFFFF" w:val="clear"/>
        </w:rPr>
        <w:t>integrates with core hospital systems and brings all service lines, including non-clinical, nursing, allied health, and locums, into one centralized view. Powered by real-time analytics and AI-driven insights, Intellify</w:t>
      </w:r>
      <w:r>
        <w:rPr>
          <w:rFonts w:ascii="Times New Roman;serif" w:hAnsi="Times New Roman;serif"/>
          <w:b w:val="false"/>
          <w:color w:val="000000"/>
          <w:sz w:val="16"/>
          <w:shd w:fill="FFFFFF" w:val="clear"/>
        </w:rPr>
        <w:t>®</w:t>
      </w:r>
      <w:r>
        <w:rPr>
          <w:color w:val="000000"/>
          <w:shd w:fill="FFFFFF" w:val="clear"/>
        </w:rPr>
        <w:t xml:space="preserve"> </w:t>
      </w:r>
      <w:r>
        <w:rPr>
          <w:rFonts w:ascii="Times New Roman;serif" w:hAnsi="Times New Roman;serif"/>
          <w:b w:val="false"/>
          <w:color w:val="000000"/>
          <w:sz w:val="24"/>
          <w:shd w:fill="FFFFFF" w:val="clear"/>
        </w:rPr>
        <w:t xml:space="preserve">helps leaders make </w:t>
      </w:r>
      <w:r>
        <w:rPr>
          <w:rFonts w:ascii="Times New Roman;serif" w:hAnsi="Times New Roman;serif"/>
          <w:b w:val="false"/>
          <w:color w:val="000000"/>
          <w:sz w:val="24"/>
        </w:rPr>
        <w:t>smarter workforce decisions, streamline operations, reduce labor costs, improve flexibility, and support high-quality outcomes.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Copies of this and other press releases, as well as additional information about the Company, can be accessed online at ir.crosscountry.com. </w:t>
      </w:r>
      <w:r>
        <w:rPr>
          <w:rFonts w:ascii="Times New Roman;serif" w:hAnsi="Times New Roman;serif"/>
          <w:b w:val="false"/>
          <w:color w:val="000000"/>
          <w:sz w:val="24"/>
          <w:shd w:fill="FFFFFF" w:val="clear"/>
        </w:rPr>
        <w:t>Stockholders and prospective investors can also register to automatically receive the Company’s press releases, filings with the Securities and Exchange Commission (SEC), and other notices by e-mail.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NON-GAAP FINANCIAL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press release and the accompanying financial statement tables reference non-GAAP financial measures, such as gross profit margin, adjusted EBITDA, adjusted EBITDA margin, and adjusted EPS. Such non-GAAP financial measures are provided as additional information and should not be considered substitutes for, or superior to, financial measures calculated in accordance with GAAP. Such non-GAAP financial measures are provided for consistency and comparability to prior year results; furthermore, management believes such non-GAAP financial measures are useful to investors when evaluating the Company’s performance, as such non-GAAP financial measures exclude certain items that management believes are not indicative of the Company’s future operating performance. Pro forma measures, if applicable, are adjusted to include the results of our acquisitions, and exclude the results of divestments, as if the transactions occurred in the beginning of the periods mentioned. Such non-GAAP financial measures may differ materially from the non-GAAP financial measures used by other companies. The financial statement tables that accompany this press release include a reconciliation of each non-GAAP financial measure to the most directly comparable GAAP financial measure and a more detailed discussion of each financial measure; as such, the financial statement tables should be read in conjunction with the presentation of these non-GAAP financial measures. </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99.1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FORWARD LOOKING STATEMENTS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i/>
          <w:color w:val="000000"/>
          <w:sz w:val="24"/>
        </w:rPr>
      </w:pPr>
      <w:r>
        <w:rPr>
          <w:rFonts w:ascii="Times New Roman;serif" w:hAnsi="Times New Roman;serif"/>
          <w:b w:val="false"/>
          <w:i/>
          <w:color w:val="000000"/>
          <w:sz w:val="24"/>
        </w:rPr>
        <w:t xml:space="preserve">This press release contains “forward-looking statements” within the Private Securities Litigation Reform Act of 1995. Any statements contained in this press release that are not statements of historical fact, including statements relating to our future results (including business trends),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 management time from ongoing business operations due to the proposed Merger, (vi) the risk that any announcements relating to the proposed Merger could have adverse effects on the market price of Company’s common stock,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unexpected costs, charges or expenses resulting from the Merger, (x) potential litigation relating to the Merger that could be instituted against the parties to the Merger Agreement or their respective directors, managers, or officers, including the effects of any outcomes related thereto, (xi) worldwide economic or political changes that affect the markets that the Company’s businesses serve, which could have an effect on demand for the Company’s services and impact the Company’s profitability, (xii) effects from global pandemics, epidemics, or other public health crises, (xiii) changes in marketplace conditions, such as alternative modes of healthcare delivery, reimbursement and customer needs, (xiv) disruptions in the global credit and financial markets, including diminished liquidity and credit availability, changes in international trade agreements, including tariffs and trade restrictions, foreign currency volatility, swings in consumer confidence and spending, and the overall macroeconomic environment, (xv) the functioning of our information systems and the effect of cyber security risks and cyber incidents on our business, (xvi) demand for the healthcare services that we provide, both nationally and in the regions in which we operate, (xvii) leadership transitions and retention of key employees, (xviii) our ability to attract and retain qualified nurses, physicians, and other healthcare personnel, (xix) costs and availability of short-term housing for our travel healthcare professionals, (xx) the effect of existing or future government regulation and federal and state legislative and enforcement initiatives on our business, and (xxi) outcomes of regulatory and legal proceedings, claims, and investigations. Accordingly, actual results may differ materially from those contemplated by these forward-looking statements. Investors,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99.1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These forward-looking statements speak only as of the date of this press release. Except as may be required by applicable law, the Company does not assume any obligation to update or revise any forward-looking statement made in this press release or that may from time to time be made by or on behalf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99.1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00"/>
        <w:gridCol w:w="1656"/>
        <w:gridCol w:w="1661"/>
        <w:gridCol w:w="232"/>
        <w:gridCol w:w="910"/>
        <w:gridCol w:w="119"/>
        <w:gridCol w:w="119"/>
        <w:gridCol w:w="119"/>
        <w:gridCol w:w="119"/>
        <w:gridCol w:w="232"/>
        <w:gridCol w:w="910"/>
        <w:gridCol w:w="119"/>
        <w:gridCol w:w="119"/>
        <w:gridCol w:w="119"/>
        <w:gridCol w:w="119"/>
        <w:gridCol w:w="232"/>
        <w:gridCol w:w="910"/>
        <w:gridCol w:w="119"/>
        <w:gridCol w:w="109"/>
        <w:gridCol w:w="109"/>
        <w:gridCol w:w="109"/>
        <w:gridCol w:w="164"/>
      </w:tblGrid>
      <w:tr>
        <w:trPr/>
        <w:tc>
          <w:tcPr>
            <w:tcW w:w="190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Cross Country Healthcare, Inc.</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amounts in thousands, except per share data)</w:t>
            </w:r>
          </w:p>
        </w:tc>
        <w:tc>
          <w:tcPr>
            <w:tcW w:w="491" w:type="dxa"/>
            <w:gridSpan w:val="4"/>
            <w:tcBorders/>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services </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integration-related (income)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losses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Basic</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31,470 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32,282 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32,334 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145" w:type="dxa"/>
        <w:jc w:val="center"/>
        <w:tblInd w:w="0" w:type="dxa"/>
        <w:tblLayout w:type="fixed"/>
        <w:tblCellMar>
          <w:top w:w="28" w:type="dxa"/>
          <w:left w:w="28" w:type="dxa"/>
          <w:bottom w:w="28" w:type="dxa"/>
          <w:right w:w="28" w:type="dxa"/>
        </w:tblCellMar>
      </w:tblPr>
      <w:tblGrid>
        <w:gridCol w:w="1647"/>
        <w:gridCol w:w="1445"/>
        <w:gridCol w:w="1452"/>
        <w:gridCol w:w="181"/>
        <w:gridCol w:w="526"/>
        <w:gridCol w:w="211"/>
        <w:gridCol w:w="109"/>
        <w:gridCol w:w="109"/>
        <w:gridCol w:w="109"/>
        <w:gridCol w:w="181"/>
        <w:gridCol w:w="466"/>
        <w:gridCol w:w="211"/>
        <w:gridCol w:w="109"/>
        <w:gridCol w:w="109"/>
        <w:gridCol w:w="109"/>
        <w:gridCol w:w="181"/>
        <w:gridCol w:w="601"/>
        <w:gridCol w:w="211"/>
        <w:gridCol w:w="109"/>
        <w:gridCol w:w="109"/>
        <w:gridCol w:w="109"/>
        <w:gridCol w:w="851"/>
      </w:tblGrid>
      <w:tr>
        <w:trPr/>
        <w:tc>
          <w:tcPr>
            <w:tcW w:w="16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96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Cross Country Healthcare, Inc.</w:t>
            </w:r>
          </w:p>
        </w:tc>
        <w:tc>
          <w:tcPr>
            <w:tcW w:w="1178" w:type="dxa"/>
            <w:gridSpan w:val="4"/>
            <w:tcBorders/>
          </w:tcPr>
          <w:p>
            <w:pPr>
              <w:pStyle w:val="TableContents"/>
              <w:bidi w:val="0"/>
              <w:spacing w:before="0" w:after="283"/>
              <w:jc w:val="left"/>
              <w:rPr>
                <w:sz w:val="4"/>
                <w:szCs w:val="4"/>
              </w:rPr>
            </w:pPr>
            <w:r>
              <w:rPr>
                <w:sz w:val="4"/>
                <w:szCs w:val="4"/>
              </w:rPr>
            </w:r>
          </w:p>
        </w:tc>
      </w:tr>
      <w:tr>
        <w:trPr/>
        <w:tc>
          <w:tcPr>
            <w:tcW w:w="796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Reconciliation of Non-GAAP Financial Measures</w:t>
            </w:r>
          </w:p>
        </w:tc>
        <w:tc>
          <w:tcPr>
            <w:tcW w:w="1178" w:type="dxa"/>
            <w:gridSpan w:val="4"/>
            <w:tcBorders/>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4601" w:type="dxa"/>
            <w:gridSpan w:val="19"/>
            <w:tcBorders/>
          </w:tcPr>
          <w:p>
            <w:pPr>
              <w:pStyle w:val="TableContents"/>
              <w:bidi w:val="0"/>
              <w:spacing w:before="0" w:after="283"/>
              <w:jc w:val="left"/>
              <w:rPr>
                <w:sz w:val="4"/>
                <w:szCs w:val="4"/>
              </w:rPr>
            </w:pPr>
            <w:r>
              <w:rPr>
                <w:sz w:val="4"/>
                <w:szCs w:val="4"/>
              </w:rPr>
            </w:r>
          </w:p>
        </w:tc>
      </w:tr>
      <w:tr>
        <w:trPr/>
        <w:tc>
          <w:tcPr>
            <w:tcW w:w="796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(Unaudited, amounts in thousands, except per share data)</w:t>
            </w:r>
          </w:p>
        </w:tc>
        <w:tc>
          <w:tcPr>
            <w:tcW w:w="1178" w:type="dxa"/>
            <w:gridSpan w:val="4"/>
            <w:tcBorders/>
          </w:tcPr>
          <w:p>
            <w:pPr>
              <w:pStyle w:val="TableContents"/>
              <w:bidi w:val="0"/>
              <w:spacing w:before="0" w:after="283"/>
              <w:jc w:val="left"/>
              <w:rPr>
                <w:sz w:val="4"/>
                <w:szCs w:val="4"/>
              </w:rPr>
            </w:pPr>
            <w:r>
              <w:rPr>
                <w:sz w:val="4"/>
                <w:szCs w:val="4"/>
              </w:rPr>
            </w:r>
          </w:p>
        </w:tc>
      </w:tr>
      <w:tr>
        <w:trPr/>
        <w:tc>
          <w:tcPr>
            <w:tcW w:w="796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4"/>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Adjusted EBITDA: </w:t>
            </w:r>
            <w:r>
              <w:rPr>
                <w:rFonts w:ascii="Times New Roman;serif" w:hAnsi="Times New Roman;serif"/>
                <w:b/>
                <w:color w:val="000000"/>
                <w:sz w:val="9"/>
              </w:rPr>
              <w:t>a</w:t>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common stockholders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(4,266)</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(82,929)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Income tax expense (benefit) </w:t>
            </w:r>
            <w:r>
              <w:rPr>
                <w:rFonts w:ascii="Times New Roman;serif" w:hAnsi="Times New Roman;serif"/>
                <w:b w:val="false"/>
                <w:color w:val="000000"/>
                <w:sz w:val="9"/>
              </w:rPr>
              <w:t>b</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11,684 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Acquisition and integration-related (income) costs </w:t>
            </w:r>
            <w:r>
              <w:rPr>
                <w:rFonts w:ascii="Times New Roman;serif" w:hAnsi="Times New Roman;serif"/>
                <w:b w:val="false"/>
                <w:color w:val="000000"/>
                <w:sz w:val="9"/>
              </w:rPr>
              <w:t>c</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(15,577)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Restructuring costs </w:t>
            </w:r>
            <w:r>
              <w:rPr>
                <w:rFonts w:ascii="Times New Roman;serif" w:hAnsi="Times New Roman;serif"/>
                <w:b w:val="false"/>
                <w:color w:val="000000"/>
                <w:sz w:val="9"/>
              </w:rPr>
              <w:t>d</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Severance costs - executive transition </w:t>
            </w:r>
            <w:r>
              <w:rPr>
                <w:rFonts w:ascii="Times New Roman;serif" w:hAnsi="Times New Roman;serif"/>
                <w:b w:val="false"/>
                <w:color w:val="000000"/>
                <w:sz w:val="9"/>
              </w:rPr>
              <w:t>e</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Legal, bankruptcy, and other losses </w:t>
            </w:r>
            <w:r>
              <w:rPr>
                <w:rFonts w:ascii="Times New Roman;serif" w:hAnsi="Times New Roman;serif"/>
                <w:b w:val="false"/>
                <w:color w:val="000000"/>
                <w:sz w:val="9"/>
              </w:rPr>
              <w:t>f</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Impairment charges </w:t>
            </w:r>
            <w:r>
              <w:rPr>
                <w:rFonts w:ascii="Times New Roman;serif" w:hAnsi="Times New Roman;serif"/>
                <w:b w:val="false"/>
                <w:color w:val="000000"/>
                <w:sz w:val="9"/>
              </w:rPr>
              <w:t>g</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77,851 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disposal of fixed assets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lease termination</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Interest income </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System conversion costs </w:t>
            </w:r>
            <w:r>
              <w:rPr>
                <w:rFonts w:ascii="Times New Roman;serif" w:hAnsi="Times New Roman;serif"/>
                <w:b w:val="false"/>
                <w:color w:val="000000"/>
                <w:sz w:val="9"/>
              </w:rPr>
              <w:t>h</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Adjusted EBITDA </w:t>
            </w:r>
            <w:r>
              <w:rPr>
                <w:rFonts w:ascii="Times New Roman;serif" w:hAnsi="Times New Roman;serif"/>
                <w:b w:val="false"/>
                <w:color w:val="000000"/>
                <w:sz w:val="9"/>
              </w:rPr>
              <w:t>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8,619 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Adjusted EBITDA margin </w:t>
            </w:r>
            <w:r>
              <w:rPr>
                <w:rFonts w:ascii="Times New Roman;serif" w:hAnsi="Times New Roman;serif"/>
                <w:b w:val="false"/>
                <w:color w:val="000000"/>
                <w:sz w:val="9"/>
              </w:rPr>
              <w:t>a</w:t>
            </w:r>
          </w:p>
        </w:tc>
        <w:tc>
          <w:tcPr>
            <w:tcW w:w="70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Adjusted EPS: </w:t>
            </w:r>
            <w:r>
              <w:rPr>
                <w:rFonts w:ascii="Times New Roman;serif" w:hAnsi="Times New Roman;serif"/>
                <w:b/>
                <w:color w:val="000000"/>
                <w:sz w:val="9"/>
              </w:rPr>
              <w:t>i</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Numerator:</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common stockholders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(4,266)</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(82,929)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Non-GAAP adjustments - pretax:</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Acquisition and integration-related (income) costs </w:t>
            </w:r>
            <w:r>
              <w:rPr>
                <w:rFonts w:ascii="Times New Roman;serif" w:hAnsi="Times New Roman;serif"/>
                <w:b w:val="false"/>
                <w:color w:val="000000"/>
                <w:sz w:val="9"/>
              </w:rPr>
              <w:t>c</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(15,577)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Restructuring costs </w:t>
            </w:r>
            <w:r>
              <w:rPr>
                <w:rFonts w:ascii="Times New Roman;serif" w:hAnsi="Times New Roman;serif"/>
                <w:b w:val="false"/>
                <w:color w:val="000000"/>
                <w:sz w:val="9"/>
              </w:rPr>
              <w:t>d</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Severance costs - executive transition </w:t>
            </w:r>
            <w:r>
              <w:rPr>
                <w:rFonts w:ascii="Times New Roman;serif" w:hAnsi="Times New Roman;serif"/>
                <w:b w:val="false"/>
                <w:color w:val="000000"/>
                <w:sz w:val="9"/>
              </w:rPr>
              <w:t>e</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Legal, bankruptcy, and other losses </w:t>
            </w:r>
            <w:r>
              <w:rPr>
                <w:rFonts w:ascii="Times New Roman;serif" w:hAnsi="Times New Roman;serif"/>
                <w:b w:val="false"/>
                <w:color w:val="000000"/>
                <w:sz w:val="9"/>
              </w:rPr>
              <w:t>f</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Impairment charges </w:t>
            </w:r>
            <w:r>
              <w:rPr>
                <w:rFonts w:ascii="Times New Roman;serif" w:hAnsi="Times New Roman;serif"/>
                <w:b w:val="false"/>
                <w:color w:val="000000"/>
                <w:sz w:val="9"/>
              </w:rPr>
              <w:t>g</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77,851 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System conversion costs </w:t>
            </w:r>
            <w:r>
              <w:rPr>
                <w:rFonts w:ascii="Times New Roman;serif" w:hAnsi="Times New Roman;serif"/>
                <w:b w:val="false"/>
                <w:color w:val="000000"/>
                <w:sz w:val="9"/>
              </w:rPr>
              <w:t>h</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Nonrecurring income tax adjustments </w:t>
            </w:r>
            <w:r>
              <w:rPr>
                <w:rFonts w:ascii="Times New Roman;serif" w:hAnsi="Times New Roman;serif"/>
                <w:b w:val="false"/>
                <w:color w:val="000000"/>
                <w:sz w:val="9"/>
              </w:rPr>
              <w:t>j</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29,449 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Tax impact of non-GAAP adjustments </w:t>
            </w:r>
            <w:r>
              <w:rPr>
                <w:rFonts w:ascii="Times New Roman;serif" w:hAnsi="Times New Roman;serif"/>
                <w:b w:val="false"/>
                <w:color w:val="000000"/>
                <w:sz w:val="9"/>
              </w:rPr>
              <w:t>k</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(19,296)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net (loss) income attributable to common stockholders -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(1,098)</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2,097 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(2,054)</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Denominator:</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 average common shares - basic, GAAP</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31,470 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32,282 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32,334 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Dilutive impact of share-based payments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weighted average common shares - diluted, non-GAAP</w:t>
            </w:r>
          </w:p>
        </w:tc>
        <w:tc>
          <w:tcPr>
            <w:tcW w:w="7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31,651 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32,563 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32,411 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Reconciliation:</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Diluted EPS, 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Non-GAAP adjustments - pretax:</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Acquisition and integration-related (income) costs </w:t>
            </w:r>
            <w:r>
              <w:rPr>
                <w:rFonts w:ascii="Times New Roman;serif" w:hAnsi="Times New Roman;serif"/>
                <w:b w:val="false"/>
                <w:color w:val="000000"/>
                <w:sz w:val="9"/>
              </w:rPr>
              <w:t>c</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Restructuring costs </w:t>
            </w:r>
            <w:r>
              <w:rPr>
                <w:rFonts w:ascii="Times New Roman;serif" w:hAnsi="Times New Roman;serif"/>
                <w:b w:val="false"/>
                <w:color w:val="000000"/>
                <w:sz w:val="9"/>
              </w:rPr>
              <w:t>d</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Severance costs - executive transition </w:t>
            </w:r>
            <w:r>
              <w:rPr>
                <w:rFonts w:ascii="Times New Roman;serif" w:hAnsi="Times New Roman;serif"/>
                <w:b w:val="false"/>
                <w:color w:val="000000"/>
                <w:sz w:val="9"/>
              </w:rPr>
              <w:t>e</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Legal, bankruptcy, and other losses </w:t>
            </w:r>
            <w:r>
              <w:rPr>
                <w:rFonts w:ascii="Times New Roman;serif" w:hAnsi="Times New Roman;serif"/>
                <w:b w:val="false"/>
                <w:color w:val="000000"/>
                <w:sz w:val="9"/>
              </w:rPr>
              <w:t>f</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Impairment charges </w:t>
            </w:r>
            <w:r>
              <w:rPr>
                <w:rFonts w:ascii="Times New Roman;serif" w:hAnsi="Times New Roman;serif"/>
                <w:b w:val="false"/>
                <w:color w:val="000000"/>
                <w:sz w:val="9"/>
              </w:rPr>
              <w:t>g</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System conversion costs </w:t>
            </w:r>
            <w:r>
              <w:rPr>
                <w:rFonts w:ascii="Times New Roman;serif" w:hAnsi="Times New Roman;serif"/>
                <w:b w:val="false"/>
                <w:color w:val="000000"/>
                <w:sz w:val="9"/>
              </w:rPr>
              <w:t>h</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Nonrecurring income tax adjustments </w:t>
            </w:r>
            <w:r>
              <w:rPr>
                <w:rFonts w:ascii="Times New Roman;serif" w:hAnsi="Times New Roman;serif"/>
                <w:b w:val="false"/>
                <w:color w:val="000000"/>
                <w:sz w:val="9"/>
              </w:rPr>
              <w:t>j</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Tax impact of non-GAAP adjustments </w:t>
            </w:r>
            <w:r>
              <w:rPr>
                <w:rFonts w:ascii="Times New Roman;serif" w:hAnsi="Times New Roman;serif"/>
                <w:b w:val="false"/>
                <w:color w:val="000000"/>
                <w:sz w:val="9"/>
              </w:rPr>
              <w:t>k</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(0.60)</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Adjusted EPS, non-GAAP </w:t>
            </w:r>
            <w:r>
              <w:rPr>
                <w:rFonts w:ascii="Times New Roman;serif" w:hAnsi="Times New Roman;serif"/>
                <w:b w:val="false"/>
                <w:color w:val="000000"/>
                <w:sz w:val="9"/>
              </w:rPr>
              <w:t>i</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bl>
    <w:tbl>
      <w:tblPr>
        <w:tblW w:w="5789" w:type="dxa"/>
        <w:jc w:val="center"/>
        <w:tblInd w:w="0" w:type="dxa"/>
        <w:tblLayout w:type="fixed"/>
        <w:tblCellMar>
          <w:top w:w="28" w:type="dxa"/>
          <w:left w:w="28" w:type="dxa"/>
          <w:bottom w:w="28" w:type="dxa"/>
          <w:right w:w="28" w:type="dxa"/>
        </w:tblCellMar>
      </w:tblPr>
      <w:tblGrid>
        <w:gridCol w:w="1069"/>
        <w:gridCol w:w="939"/>
        <w:gridCol w:w="947"/>
        <w:gridCol w:w="196"/>
        <w:gridCol w:w="736"/>
        <w:gridCol w:w="109"/>
        <w:gridCol w:w="109"/>
        <w:gridCol w:w="109"/>
        <w:gridCol w:w="109"/>
        <w:gridCol w:w="109"/>
        <w:gridCol w:w="109"/>
        <w:gridCol w:w="109"/>
        <w:gridCol w:w="205"/>
        <w:gridCol w:w="773"/>
        <w:gridCol w:w="161"/>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Cross Country Healthcare, Inc.</w:t>
            </w:r>
          </w:p>
        </w:tc>
      </w:tr>
      <w:tr>
        <w:trPr/>
        <w:tc>
          <w:tcPr>
            <w:tcW w:w="5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rPr/>
        <w:tc>
          <w:tcPr>
            <w:tcW w:w="5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amounts in thousands)</w:t>
            </w:r>
          </w:p>
        </w:tc>
      </w:tr>
      <w:tr>
        <w:trPr/>
        <w:tc>
          <w:tcPr>
            <w:tcW w:w="578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167,512 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recovery receivable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Cloud computing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asset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448,951 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46,034 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77,756 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claims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322,822 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448,951 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42"/>
        <w:gridCol w:w="270"/>
        <w:gridCol w:w="272"/>
        <w:gridCol w:w="196"/>
        <w:gridCol w:w="736"/>
        <w:gridCol w:w="109"/>
        <w:gridCol w:w="209"/>
        <w:gridCol w:w="212"/>
        <w:gridCol w:w="279"/>
        <w:gridCol w:w="109"/>
        <w:gridCol w:w="109"/>
        <w:gridCol w:w="109"/>
        <w:gridCol w:w="196"/>
        <w:gridCol w:w="736"/>
        <w:gridCol w:w="109"/>
        <w:gridCol w:w="209"/>
        <w:gridCol w:w="212"/>
        <w:gridCol w:w="279"/>
        <w:gridCol w:w="109"/>
        <w:gridCol w:w="109"/>
        <w:gridCol w:w="109"/>
        <w:gridCol w:w="196"/>
        <w:gridCol w:w="737"/>
        <w:gridCol w:w="109"/>
        <w:gridCol w:w="209"/>
        <w:gridCol w:w="212"/>
        <w:gridCol w:w="279"/>
        <w:gridCol w:w="109"/>
        <w:gridCol w:w="109"/>
        <w:gridCol w:w="109"/>
        <w:gridCol w:w="283"/>
        <w:gridCol w:w="283"/>
        <w:gridCol w:w="665"/>
        <w:gridCol w:w="109"/>
        <w:gridCol w:w="109"/>
        <w:gridCol w:w="109"/>
        <w:gridCol w:w="219"/>
        <w:gridCol w:w="219"/>
        <w:gridCol w:w="520"/>
      </w:tblGrid>
      <w:tr>
        <w:trPr/>
        <w:tc>
          <w:tcPr>
            <w:tcW w:w="9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Cross Country Healthcare, Inc.</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Segment Data </w:t>
            </w:r>
            <w:r>
              <w:rPr>
                <w:rFonts w:ascii="Times New Roman;serif" w:hAnsi="Times New Roman;serif"/>
                <w:b/>
                <w:color w:val="000000"/>
                <w:sz w:val="12"/>
              </w:rPr>
              <w:t>l</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amounts in thousands)</w:t>
            </w:r>
          </w:p>
        </w:tc>
      </w:tr>
      <w:tr>
        <w:trPr/>
        <w:tc>
          <w:tcPr>
            <w:tcW w:w="10205"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Year-over-Year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Sequential</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 (Unfav)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 (Unfav)</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Nurse and Allied Staffing</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Physician Staffing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Contribution income: </w:t>
            </w:r>
            <w:r>
              <w:rPr>
                <w:rFonts w:ascii="Times New Roman;serif" w:hAnsi="Times New Roman;serif"/>
                <w:b w:val="false"/>
                <w:color w:val="000000"/>
                <w:sz w:val="12"/>
              </w:rPr>
              <w:t>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Nurse and Allied Staffing</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Physician Staffing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overhead </w:t>
            </w:r>
            <w:r>
              <w:rPr>
                <w:rFonts w:ascii="Times New Roman;serif" w:hAnsi="Times New Roman;serif"/>
                <w:b w:val="false"/>
                <w:color w:val="000000"/>
                <w:sz w:val="12"/>
              </w:rPr>
              <w:t>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costs </w:t>
            </w:r>
            <w:r>
              <w:rPr>
                <w:rFonts w:ascii="Times New Roman;serif" w:hAnsi="Times New Roman;serif"/>
                <w:b w:val="false"/>
                <w:color w:val="000000"/>
                <w:sz w:val="13"/>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bankruptcy, and other losses </w:t>
            </w:r>
            <w:r>
              <w:rPr>
                <w:rFonts w:ascii="Times New Roman;serif" w:hAnsi="Times New Roman;serif"/>
                <w:b w:val="false"/>
                <w:color w:val="000000"/>
                <w:sz w:val="13"/>
              </w:rPr>
              <w:t>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 charges </w:t>
            </w:r>
            <w:r>
              <w:rPr>
                <w:rFonts w:ascii="Times New Roman;serif" w:hAnsi="Times New Roman;serif"/>
                <w:b w:val="false"/>
                <w:color w:val="000000"/>
                <w:sz w:val="12"/>
              </w:rPr>
              <w:t>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and integration-related (income) costs </w:t>
            </w:r>
            <w:r>
              <w:rPr>
                <w:rFonts w:ascii="Times New Roman;serif" w:hAnsi="Times New Roman;serif"/>
                <w:b w:val="false"/>
                <w:color w:val="000000"/>
                <w:sz w:val="12"/>
              </w:rPr>
              <w:t>c</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43" w:type="dxa"/>
            <w:gridSpan w:val="15"/>
            <w:tcBorders/>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85" w:type="dxa"/>
            <w:gridSpan w:val="6"/>
            <w:tcBorders/>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14" w:type="dxa"/>
        <w:jc w:val="center"/>
        <w:tblInd w:w="0" w:type="dxa"/>
        <w:tblLayout w:type="fixed"/>
        <w:tblCellMar>
          <w:top w:w="28" w:type="dxa"/>
          <w:left w:w="28" w:type="dxa"/>
          <w:bottom w:w="28" w:type="dxa"/>
          <w:right w:w="28" w:type="dxa"/>
        </w:tblCellMar>
      </w:tblPr>
      <w:tblGrid>
        <w:gridCol w:w="1299"/>
        <w:gridCol w:w="1138"/>
        <w:gridCol w:w="1147"/>
        <w:gridCol w:w="221"/>
        <w:gridCol w:w="830"/>
        <w:gridCol w:w="122"/>
        <w:gridCol w:w="122"/>
        <w:gridCol w:w="122"/>
        <w:gridCol w:w="122"/>
        <w:gridCol w:w="221"/>
        <w:gridCol w:w="728"/>
        <w:gridCol w:w="122"/>
        <w:gridCol w:w="122"/>
        <w:gridCol w:w="122"/>
        <w:gridCol w:w="122"/>
        <w:gridCol w:w="221"/>
        <w:gridCol w:w="830"/>
        <w:gridCol w:w="122"/>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3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Cross Country Healthcare, Inc.</w:t>
            </w:r>
          </w:p>
        </w:tc>
        <w:tc>
          <w:tcPr>
            <w:tcW w:w="481" w:type="dxa"/>
            <w:gridSpan w:val="4"/>
            <w:tcBorders/>
          </w:tcPr>
          <w:p>
            <w:pPr>
              <w:pStyle w:val="TableContents"/>
              <w:bidi w:val="0"/>
              <w:spacing w:before="0" w:after="283"/>
              <w:jc w:val="left"/>
              <w:rPr>
                <w:sz w:val="4"/>
                <w:szCs w:val="4"/>
              </w:rPr>
            </w:pPr>
            <w:r>
              <w:rPr>
                <w:sz w:val="4"/>
                <w:szCs w:val="4"/>
              </w:rPr>
            </w:r>
          </w:p>
        </w:tc>
      </w:tr>
      <w:tr>
        <w:trPr/>
        <w:tc>
          <w:tcPr>
            <w:tcW w:w="773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Summary Condensed Consolidated Statements of Cash Flows</w:t>
            </w:r>
          </w:p>
        </w:tc>
        <w:tc>
          <w:tcPr>
            <w:tcW w:w="481" w:type="dxa"/>
            <w:gridSpan w:val="4"/>
            <w:tcBorders/>
          </w:tcPr>
          <w:p>
            <w:pPr>
              <w:pStyle w:val="TableContents"/>
              <w:bidi w:val="0"/>
              <w:spacing w:before="0" w:after="283"/>
              <w:jc w:val="left"/>
              <w:rPr>
                <w:sz w:val="4"/>
                <w:szCs w:val="4"/>
              </w:rPr>
            </w:pPr>
            <w:r>
              <w:rPr>
                <w:sz w:val="4"/>
                <w:szCs w:val="4"/>
              </w:rPr>
            </w:r>
          </w:p>
        </w:tc>
      </w:tr>
      <w:tr>
        <w:trPr/>
        <w:tc>
          <w:tcPr>
            <w:tcW w:w="773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 amounts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cash equivalents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54" w:type="dxa"/>
        <w:jc w:val="center"/>
        <w:tblInd w:w="0" w:type="dxa"/>
        <w:tblLayout w:type="fixed"/>
        <w:tblCellMar>
          <w:top w:w="28" w:type="dxa"/>
          <w:left w:w="28" w:type="dxa"/>
          <w:bottom w:w="28" w:type="dxa"/>
          <w:right w:w="28" w:type="dxa"/>
        </w:tblCellMar>
      </w:tblPr>
      <w:tblGrid>
        <w:gridCol w:w="1626"/>
        <w:gridCol w:w="1433"/>
        <w:gridCol w:w="1441"/>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73" w:type="dxa"/>
            <w:gridSpan w:val="18"/>
            <w:tcBorders/>
            <w:tcMar>
              <w:top w:w="0" w:type="dxa"/>
              <w:left w:w="0" w:type="dxa"/>
              <w:bottom w:w="0" w:type="dxa"/>
              <w:right w:w="0" w:type="dxa"/>
            </w:tcMar>
            <w:vAlign w:val="center"/>
          </w:tcPr>
          <w:p>
            <w:pPr>
              <w:pStyle w:val="TableContents"/>
              <w:bidi w:val="0"/>
              <w:spacing w:lineRule="auto" w:line="240" w:before="0" w:after="283"/>
              <w:ind w:left="0" w:right="0" w:hanging="540"/>
              <w:jc w:val="center"/>
              <w:rPr>
                <w:rFonts w:ascii="Times New Roman;serif" w:hAnsi="Times New Roman;serif"/>
                <w:b/>
                <w:color w:val="000000"/>
                <w:sz w:val="18"/>
              </w:rPr>
            </w:pPr>
            <w:r>
              <w:rPr>
                <w:rFonts w:ascii="Times New Roman;serif" w:hAnsi="Times New Roman;serif"/>
                <w:b/>
                <w:color w:val="000000"/>
                <w:sz w:val="18"/>
              </w:rPr>
              <w:t>Cross Country Healthcare, Inc.</w:t>
            </w:r>
          </w:p>
        </w:tc>
        <w:tc>
          <w:tcPr>
            <w:tcW w:w="481" w:type="dxa"/>
            <w:gridSpan w:val="4"/>
            <w:tcBorders/>
          </w:tcPr>
          <w:p>
            <w:pPr>
              <w:pStyle w:val="TableContents"/>
              <w:bidi w:val="0"/>
              <w:spacing w:before="0" w:after="283"/>
              <w:jc w:val="left"/>
              <w:rPr>
                <w:sz w:val="4"/>
                <w:szCs w:val="4"/>
              </w:rPr>
            </w:pPr>
            <w:r>
              <w:rPr>
                <w:sz w:val="4"/>
                <w:szCs w:val="4"/>
              </w:rPr>
            </w:r>
          </w:p>
        </w:tc>
      </w:tr>
      <w:tr>
        <w:trPr/>
        <w:tc>
          <w:tcPr>
            <w:tcW w:w="867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Financial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867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8673"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services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Direct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Consolidated gross profit margin </w:t>
            </w:r>
            <w:r>
              <w:rPr>
                <w:rFonts w:ascii="Times New Roman;serif" w:hAnsi="Times New Roman;serif"/>
                <w:b w:val="false"/>
                <w:color w:val="000000"/>
                <w:sz w:val="12"/>
              </w:rPr>
              <w:t>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Nurse and Allied Staffing statistical data: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FTEs </w:t>
            </w:r>
            <w:r>
              <w:rPr>
                <w:rFonts w:ascii="Times New Roman;serif" w:hAnsi="Times New Roman;serif"/>
                <w:b w:val="false"/>
                <w:color w:val="000000"/>
                <w:sz w:val="12"/>
              </w:rPr>
              <w:t>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Nurse and Allied Staffing revenue per FTE per day </w:t>
            </w:r>
            <w:r>
              <w:rPr>
                <w:rFonts w:ascii="Times New Roman;serif" w:hAnsi="Times New Roman;serif"/>
                <w:b w:val="false"/>
                <w:color w:val="000000"/>
                <w:sz w:val="12"/>
              </w:rPr>
              <w:t>q</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Physician Staffing statistical data: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Days filled </w:t>
            </w:r>
            <w:r>
              <w:rPr>
                <w:rFonts w:ascii="Times New Roman;serif" w:hAnsi="Times New Roman;serif"/>
                <w:b w:val="false"/>
                <w:color w:val="000000"/>
                <w:sz w:val="12"/>
              </w:rPr>
              <w:t>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per day filled </w:t>
            </w:r>
            <w:r>
              <w:rPr>
                <w:rFonts w:ascii="Times New Roman;serif" w:hAnsi="Times New Roman;serif"/>
                <w:b w:val="false"/>
                <w:color w:val="000000"/>
                <w:sz w:val="12"/>
              </w:rPr>
              <w: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both"/>
        <w:rPr/>
      </w:pPr>
      <w:r>
        <w:rPr>
          <w:rFonts w:ascii="Times New Roman;serif" w:hAnsi="Times New Roman;serif"/>
          <w:b w:val="false"/>
          <w:color w:val="000000"/>
          <w:sz w:val="12"/>
        </w:rPr>
        <w:t>(a)</w:t>
      </w:r>
      <w:r>
        <w:rPr>
          <w:color w:val="000000"/>
        </w:rPr>
        <w:t>    </w:t>
      </w:r>
      <w:r>
        <w:rPr>
          <w:rFonts w:ascii="Times New Roman;serif" w:hAnsi="Times New Roman;serif"/>
          <w:b w:val="false"/>
          <w:color w:val="000000"/>
          <w:sz w:val="18"/>
        </w:rPr>
        <w:t>Adjusted EBITDA, a non-GAAP financial measure, is defined as net income (loss) attributable to common stockholders before interest expense, income tax expense (benefit), depreciation and amortization, acquisition and integration-related (benefits) costs, restructuring (benefits) costs, certain severance costs, legal and other losses, customer bankruptcy loss, impairment charges, gain or loss on derivative, loss on early extinguishment of debt, gain or loss on disposal of fixed assets, gain or loss on lease termination, gain or loss on sale of business, interest income, other expense (income), net, equity compensation, and system conversion costs. Adjusted EBITDA is not and should not be considered a measure of financial performance under GAAP. Management presents Adjusted EBITDA because it believes that Adjusted EBITDA is a useful supplement to net income (loss) attributable to common stockholders as an indicator of operating performance. Management uses Adjusted EBITDA for planning purposes and as one performance measure in its incentive programs for certain members of its management team. Adjusted EBITDA, as defined, closely matches the operating measure as defined by the Company’s credit facilities. Adjusted EBITDA Margin is calculated by dividing Adjusted EBITDA by the Company’s consolidated revenue.</w:t>
      </w:r>
    </w:p>
    <w:p>
      <w:pPr>
        <w:pStyle w:val="TextBody"/>
        <w:bidi w:val="0"/>
        <w:spacing w:lineRule="auto" w:line="288" w:before="0" w:after="60"/>
        <w:ind w:left="0" w:right="0" w:hanging="360"/>
        <w:jc w:val="both"/>
        <w:rPr/>
      </w:pPr>
      <w:r>
        <w:rPr>
          <w:rFonts w:ascii="Times New Roman;serif" w:hAnsi="Times New Roman;serif"/>
          <w:b w:val="false"/>
          <w:color w:val="000000"/>
          <w:sz w:val="12"/>
        </w:rPr>
        <w:t>(b)</w:t>
      </w:r>
      <w:r>
        <w:rPr>
          <w:color w:val="000000"/>
        </w:rPr>
        <w:t>    </w:t>
      </w:r>
      <w:r>
        <w:rPr>
          <w:rFonts w:ascii="Times New Roman;serif" w:hAnsi="Times New Roman;serif"/>
          <w:b w:val="false"/>
          <w:color w:val="000000"/>
          <w:sz w:val="18"/>
        </w:rPr>
        <w:t>Income tax expense for the three months ended December 31, 2025 includes $29.4 million of expense related to the establishment of nonrecurring valuation allowances on the Company’s deferred tax assets.</w:t>
      </w:r>
    </w:p>
    <w:p>
      <w:pPr>
        <w:pStyle w:val="TextBody"/>
        <w:bidi w:val="0"/>
        <w:spacing w:lineRule="auto" w:line="288" w:before="0" w:after="60"/>
        <w:ind w:left="0" w:right="0" w:hanging="360"/>
        <w:jc w:val="both"/>
        <w:rPr/>
      </w:pPr>
      <w:r>
        <w:rPr>
          <w:rFonts w:ascii="Times New Roman;serif" w:hAnsi="Times New Roman;serif"/>
          <w:b w:val="false"/>
          <w:color w:val="000000"/>
          <w:sz w:val="12"/>
        </w:rPr>
        <w:t>(c)</w:t>
      </w:r>
      <w:r>
        <w:rPr>
          <w:color w:val="000000"/>
        </w:rPr>
        <w:t>    </w:t>
      </w:r>
      <w:r>
        <w:rPr>
          <w:rFonts w:ascii="Times New Roman;serif" w:hAnsi="Times New Roman;serif"/>
          <w:b w:val="false"/>
          <w:color w:val="000000"/>
          <w:sz w:val="18"/>
        </w:rPr>
        <w:t>Acquisition and integration-related (income) costs relate to the Aya Merger, and include the Aya Merger termination fee of $20.0 million that was paid to the Company in December 2025, and associated fees paid by the Company in the fourth quarter of 2025.</w:t>
      </w:r>
    </w:p>
    <w:p>
      <w:pPr>
        <w:pStyle w:val="TextBody"/>
        <w:bidi w:val="0"/>
        <w:spacing w:lineRule="auto" w:line="288" w:before="0" w:after="60"/>
        <w:ind w:left="0" w:right="0" w:hanging="360"/>
        <w:jc w:val="both"/>
        <w:rPr/>
      </w:pPr>
      <w:r>
        <w:rPr>
          <w:rFonts w:ascii="Times New Roman;serif" w:hAnsi="Times New Roman;serif"/>
          <w:b w:val="false"/>
          <w:color w:val="000000"/>
          <w:sz w:val="12"/>
        </w:rPr>
        <w:t>(d)</w:t>
      </w:r>
      <w:r>
        <w:rPr>
          <w:color w:val="000000"/>
        </w:rPr>
        <w:t>    </w:t>
      </w:r>
      <w:r>
        <w:rPr>
          <w:rFonts w:ascii="Times New Roman;serif" w:hAnsi="Times New Roman;serif"/>
          <w:b w:val="false"/>
          <w:color w:val="000000"/>
          <w:sz w:val="18"/>
        </w:rPr>
        <w:t>Restructuring costs were primarily comprised of employee termination costs, lease-related exit costs, and reorganization costs as part of planned cost savings initiatives.</w:t>
      </w:r>
    </w:p>
    <w:p>
      <w:pPr>
        <w:pStyle w:val="TextBody"/>
        <w:bidi w:val="0"/>
        <w:spacing w:lineRule="auto" w:line="288" w:before="0" w:after="60"/>
        <w:ind w:left="0" w:right="0" w:hanging="360"/>
        <w:jc w:val="both"/>
        <w:rPr/>
      </w:pPr>
      <w:r>
        <w:rPr>
          <w:rFonts w:ascii="Times New Roman;serif" w:hAnsi="Times New Roman;serif"/>
          <w:b w:val="false"/>
          <w:color w:val="000000"/>
          <w:sz w:val="12"/>
          <w:shd w:fill="FFFFFF" w:val="clear"/>
        </w:rPr>
        <w:t>(e</w:t>
      </w:r>
      <w:r>
        <w:rPr>
          <w:rFonts w:ascii="Times New Roman;serif" w:hAnsi="Times New Roman;serif"/>
          <w:b w:val="false"/>
          <w:color w:val="000000"/>
          <w:sz w:val="12"/>
        </w:rPr>
        <w:t>)</w:t>
      </w:r>
      <w:r>
        <w:rPr>
          <w:color w:val="000000"/>
        </w:rPr>
        <w:t>    </w:t>
      </w:r>
      <w:r>
        <w:rPr>
          <w:rFonts w:ascii="Times New Roman;serif" w:hAnsi="Times New Roman;serif"/>
          <w:b w:val="false"/>
          <w:color w:val="000000"/>
          <w:sz w:val="18"/>
          <w:shd w:fill="FFFFFF" w:val="clear"/>
        </w:rPr>
        <w:t>Severance costs – executive transition for the three months ended March 31, 2026 relate primarily to the separation of two officers from the Company during the period and consist of various severance payments and associated fees. Severance costs - executive transition for the three months ended December 31, 2025 relate to the former Chief Executive Officer’s separation from the Company in December 2025 and consist of various severance payments.</w:t>
      </w:r>
    </w:p>
    <w:p>
      <w:pPr>
        <w:pStyle w:val="TextBody"/>
        <w:bidi w:val="0"/>
        <w:spacing w:lineRule="auto" w:line="288" w:before="0" w:after="60"/>
        <w:ind w:left="0" w:right="0" w:hanging="360"/>
        <w:jc w:val="both"/>
        <w:rPr/>
      </w:pPr>
      <w:r>
        <w:rPr>
          <w:rFonts w:ascii="Times New Roman;serif" w:hAnsi="Times New Roman;serif"/>
          <w:b w:val="false"/>
          <w:color w:val="000000"/>
          <w:sz w:val="12"/>
          <w:shd w:fill="FFFFFF" w:val="clear"/>
        </w:rPr>
        <w:t>(f)</w:t>
      </w:r>
      <w:r>
        <w:rPr>
          <w:color w:val="000000"/>
          <w:shd w:fill="FFFFFF" w:val="clear"/>
        </w:rPr>
        <w:t>    </w:t>
      </w:r>
      <w:r>
        <w:rPr>
          <w:rFonts w:ascii="Times New Roman;serif" w:hAnsi="Times New Roman;serif"/>
          <w:b w:val="false"/>
          <w:color w:val="000000"/>
          <w:sz w:val="18"/>
        </w:rPr>
        <w:t xml:space="preserve">Includes legal costs and other settlement charges as presented on the consolidated statements of operations and losses pertaining to matters outside the normal course of operations. </w:t>
      </w:r>
    </w:p>
    <w:p>
      <w:pPr>
        <w:pStyle w:val="TextBody"/>
        <w:bidi w:val="0"/>
        <w:spacing w:lineRule="auto" w:line="288" w:before="0" w:after="60"/>
        <w:ind w:left="0" w:right="0" w:hanging="360"/>
        <w:jc w:val="both"/>
        <w:rPr/>
      </w:pPr>
      <w:r>
        <w:rPr>
          <w:rFonts w:ascii="Times New Roman;serif" w:hAnsi="Times New Roman;serif"/>
          <w:b w:val="false"/>
          <w:color w:val="000000"/>
          <w:sz w:val="12"/>
        </w:rPr>
        <w:t>(g)</w:t>
      </w:r>
      <w:r>
        <w:rPr>
          <w:color w:val="000000"/>
        </w:rPr>
        <w:t>    </w:t>
      </w:r>
      <w:r>
        <w:rPr>
          <w:rFonts w:ascii="Times New Roman;serif" w:hAnsi="Times New Roman;serif"/>
          <w:b w:val="false"/>
          <w:color w:val="000000"/>
          <w:sz w:val="18"/>
        </w:rPr>
        <w:t>Impairment charges for the three months ended December 31, 2025 include non-cash goodwill impairment charges related to the Company’s Nurse and Allied and Physician Staffing segments, primarily triggered by the fourth quarter decline in the Company’s equity market capitalization.</w:t>
      </w:r>
    </w:p>
    <w:p>
      <w:pPr>
        <w:pStyle w:val="TextBody"/>
        <w:bidi w:val="0"/>
        <w:spacing w:lineRule="auto" w:line="288" w:before="0" w:after="60"/>
        <w:ind w:left="0" w:right="0" w:hanging="360"/>
        <w:jc w:val="both"/>
        <w:rPr/>
      </w:pPr>
      <w:r>
        <w:rPr>
          <w:rFonts w:ascii="Times New Roman;serif" w:hAnsi="Times New Roman;serif"/>
          <w:b w:val="false"/>
          <w:color w:val="000000"/>
          <w:sz w:val="12"/>
        </w:rPr>
        <w:t>(h)</w:t>
      </w:r>
      <w:r>
        <w:rPr>
          <w:color w:val="000000"/>
        </w:rPr>
        <w:t>    </w:t>
      </w:r>
      <w:r>
        <w:rPr>
          <w:rFonts w:ascii="Times New Roman;serif" w:hAnsi="Times New Roman;serif"/>
          <w:b w:val="false"/>
          <w:color w:val="000000"/>
          <w:sz w:val="18"/>
        </w:rPr>
        <w:t>System conversion costs include enterprise resource planning system costs related to the upgrading and integrating of our middle and back-office platforms, with certain development costs capitalized and amortized in accordance with the Company’s policies.</w:t>
      </w:r>
    </w:p>
    <w:p>
      <w:pPr>
        <w:pStyle w:val="TextBody"/>
        <w:bidi w:val="0"/>
        <w:spacing w:lineRule="auto" w:line="288" w:before="0" w:after="60"/>
        <w:ind w:left="0" w:right="0" w:hanging="360"/>
        <w:jc w:val="both"/>
        <w:rPr/>
      </w:pPr>
      <w:r>
        <w:rPr>
          <w:rFonts w:ascii="Times New Roman;serif" w:hAnsi="Times New Roman;serif"/>
          <w:b w:val="false"/>
          <w:color w:val="000000"/>
          <w:sz w:val="12"/>
        </w:rPr>
        <w:t>(i)</w:t>
      </w:r>
      <w:r>
        <w:rPr>
          <w:color w:val="000000"/>
        </w:rPr>
        <w:t>    </w:t>
      </w:r>
      <w:r>
        <w:rPr>
          <w:rFonts w:ascii="Times New Roman;serif" w:hAnsi="Times New Roman;serif"/>
          <w:b w:val="false"/>
          <w:color w:val="000000"/>
          <w:sz w:val="18"/>
        </w:rPr>
        <w:t>Adjusted EPS, a non-GAAP financial measure, is defined as net income (loss) attributable to common stockholders per diluted share before the diluted EPS impact of acquisition and integration-related (benefits) costs, restructuring (benefits) costs, certain severance costs, legal and other losses, customer bankruptcy loss, impairment charges, gain or loss on derivative, loss on early extinguishment of debt, gain or loss on sale of business, system conversion costs, and nonrecurring income tax adjustments. Adjusted EPS is not and should not be considered a measure of financial performance under GAAP. Management presents Adjusted EPS because it believes that Adjusted EPS is a useful supplement to its reported EPS as an indicator of operating performance. Management believes Adjusted EPS provides a more useful comparison of the Company’s underlying business performance from period to period and is more representative of the future earnings capacity of the Company than EPS. Quarterly non-GAAP adjustment may vary due to rounding.</w:t>
      </w:r>
    </w:p>
    <w:p>
      <w:pPr>
        <w:pStyle w:val="TextBody"/>
        <w:bidi w:val="0"/>
        <w:spacing w:lineRule="auto" w:line="288" w:before="0" w:after="60"/>
        <w:ind w:left="0" w:right="0" w:hanging="360"/>
        <w:jc w:val="both"/>
        <w:rPr/>
      </w:pPr>
      <w:r>
        <w:rPr>
          <w:rFonts w:ascii="Times New Roman;serif" w:hAnsi="Times New Roman;serif"/>
          <w:b w:val="false"/>
          <w:color w:val="000000"/>
          <w:sz w:val="12"/>
        </w:rPr>
        <w:t>(j)</w:t>
      </w:r>
      <w:r>
        <w:rPr>
          <w:color w:val="000000"/>
        </w:rPr>
        <w:t>    </w:t>
      </w:r>
      <w:r>
        <w:rPr>
          <w:rFonts w:ascii="Times New Roman;serif" w:hAnsi="Times New Roman;serif"/>
          <w:b w:val="false"/>
          <w:color w:val="000000"/>
          <w:sz w:val="18"/>
        </w:rPr>
        <w:t>Nonrecurring income tax adjustment for the three months ended December 31, 2025 includes $29.4 million of expense related to the establishment of nonrecurring valuation allowances on the Company’s deferred tax assets.</w:t>
      </w:r>
    </w:p>
    <w:p>
      <w:pPr>
        <w:pStyle w:val="TextBody"/>
        <w:bidi w:val="0"/>
        <w:spacing w:lineRule="auto" w:line="288" w:before="0" w:after="60"/>
        <w:ind w:left="0" w:right="0" w:hanging="360"/>
        <w:jc w:val="both"/>
        <w:rPr/>
      </w:pPr>
      <w:r>
        <w:rPr>
          <w:rFonts w:ascii="Times New Roman;serif" w:hAnsi="Times New Roman;serif"/>
          <w:b w:val="false"/>
          <w:color w:val="000000"/>
          <w:sz w:val="12"/>
        </w:rPr>
        <w:t>(k)</w:t>
      </w:r>
      <w:r>
        <w:rPr>
          <w:color w:val="000000"/>
        </w:rPr>
        <w:t>    </w:t>
      </w:r>
      <w:r>
        <w:rPr>
          <w:rFonts w:ascii="Times New Roman;serif" w:hAnsi="Times New Roman;serif"/>
          <w:b w:val="false"/>
          <w:color w:val="000000"/>
          <w:sz w:val="18"/>
        </w:rPr>
        <w:t>During the quarter, the Company is in a valuation allowance position with respect to all domestic deferred tax assets other than certain deferred tax assets expected to be realized. As a result, the non-GAAP adjustments presented above are not materially tax effected, as the underlying items do not generate a corresponding tax benefit under GAAP in the current period.</w:t>
      </w:r>
    </w:p>
    <w:p>
      <w:pPr>
        <w:pStyle w:val="TextBody"/>
        <w:bidi w:val="0"/>
        <w:spacing w:lineRule="auto" w:line="288" w:before="0" w:after="60"/>
        <w:ind w:left="0" w:right="0" w:hanging="360"/>
        <w:jc w:val="both"/>
        <w:rPr/>
      </w:pPr>
      <w:r>
        <w:rPr>
          <w:rFonts w:ascii="Times New Roman;serif" w:hAnsi="Times New Roman;serif"/>
          <w:b w:val="false"/>
          <w:color w:val="000000"/>
          <w:sz w:val="12"/>
        </w:rPr>
        <w:t>(l)</w:t>
      </w:r>
      <w:r>
        <w:rPr>
          <w:color w:val="000000"/>
        </w:rPr>
        <w:t>    </w:t>
      </w:r>
      <w:r>
        <w:rPr>
          <w:rFonts w:ascii="Times New Roman;serif" w:hAnsi="Times New Roman;serif"/>
          <w:b w:val="false"/>
          <w:color w:val="000000"/>
          <w:sz w:val="18"/>
        </w:rPr>
        <w:t>Segment data is provided in accordance with the Segment Reporting Topic of the Financial Accounting Standards Board Accounting Standards Codification.</w:t>
      </w:r>
    </w:p>
    <w:p>
      <w:pPr>
        <w:pStyle w:val="TextBody"/>
        <w:bidi w:val="0"/>
        <w:spacing w:lineRule="auto" w:line="288" w:before="0" w:after="60"/>
        <w:ind w:left="0" w:right="0" w:hanging="360"/>
        <w:jc w:val="both"/>
        <w:rPr/>
      </w:pPr>
      <w:r>
        <w:rPr>
          <w:rFonts w:ascii="Times New Roman;serif" w:hAnsi="Times New Roman;serif"/>
          <w:b w:val="false"/>
          <w:color w:val="000000"/>
          <w:sz w:val="12"/>
        </w:rPr>
        <w:t>(m)</w:t>
      </w:r>
      <w:r>
        <w:rPr>
          <w:color w:val="000000"/>
        </w:rPr>
        <w:t>    </w:t>
      </w:r>
      <w:r>
        <w:rPr>
          <w:rFonts w:ascii="Times New Roman;serif" w:hAnsi="Times New Roman;serif"/>
          <w:b w:val="false"/>
          <w:color w:val="000000"/>
          <w:sz w:val="18"/>
        </w:rPr>
        <w:t>Contribution income is defined as income (loss) from operations before depreciation and amortization, acquisition and integration-related (benefits) costs, restructuring (benefits) costs, legal and other (gains) losses, impairment charges, and corporate overhead. Contribution income is a financial measure used by management when assessing segment performance.</w:t>
      </w:r>
    </w:p>
    <w:p>
      <w:pPr>
        <w:pStyle w:val="TextBody"/>
        <w:bidi w:val="0"/>
        <w:spacing w:lineRule="auto" w:line="288" w:before="0" w:after="60"/>
        <w:ind w:left="0" w:right="0" w:hanging="360"/>
        <w:jc w:val="both"/>
        <w:rPr/>
      </w:pPr>
      <w:r>
        <w:rPr>
          <w:rFonts w:ascii="Times New Roman;serif" w:hAnsi="Times New Roman;serif"/>
          <w:b w:val="false"/>
          <w:color w:val="000000"/>
          <w:sz w:val="12"/>
        </w:rPr>
        <w:t>(n)</w:t>
      </w:r>
      <w:r>
        <w:rPr>
          <w:color w:val="000000"/>
        </w:rPr>
        <w:t>    </w:t>
      </w:r>
      <w:r>
        <w:rPr>
          <w:rFonts w:ascii="Times New Roman;serif" w:hAnsi="Times New Roman;serif"/>
          <w:b w:val="false"/>
          <w:color w:val="000000"/>
          <w:sz w:val="18"/>
        </w:rPr>
        <w:t>Corporate overhead includes unallocated executive leadership and other centralized corporate functional support costs such as finance, IT, legal,    human resources, and marketing, as well as public company expenses and Company-wide projects (initiatives).</w:t>
      </w:r>
    </w:p>
    <w:p>
      <w:pPr>
        <w:pStyle w:val="TextBody"/>
        <w:bidi w:val="0"/>
        <w:spacing w:lineRule="auto" w:line="288" w:before="0" w:after="60"/>
        <w:ind w:left="0" w:right="0" w:hanging="360"/>
        <w:jc w:val="both"/>
        <w:rPr/>
      </w:pPr>
      <w:r>
        <w:rPr>
          <w:rFonts w:ascii="Times New Roman;serif" w:hAnsi="Times New Roman;serif"/>
          <w:b w:val="false"/>
          <w:color w:val="000000"/>
          <w:sz w:val="12"/>
        </w:rPr>
        <w:t>(o)</w:t>
      </w:r>
      <w:r>
        <w:rPr>
          <w:color w:val="000000"/>
        </w:rPr>
        <w:t>    </w:t>
      </w:r>
      <w:r>
        <w:rPr>
          <w:rFonts w:ascii="Times New Roman;serif" w:hAnsi="Times New Roman;serif"/>
          <w:b w:val="false"/>
          <w:color w:val="000000"/>
          <w:sz w:val="18"/>
        </w:rPr>
        <w:t>Gross profit is defined as revenue from services less direct operating expenses. The Company’s gross profit excludes allocated depreciation and amortization expense. Gross profit margin is calculated by dividing gross profit by revenue from services.</w:t>
      </w:r>
    </w:p>
    <w:p>
      <w:pPr>
        <w:pStyle w:val="TextBody"/>
        <w:bidi w:val="0"/>
        <w:spacing w:lineRule="auto" w:line="288" w:before="0" w:after="60"/>
        <w:ind w:left="0" w:right="0" w:hanging="360"/>
        <w:jc w:val="both"/>
        <w:rPr/>
      </w:pPr>
      <w:r>
        <w:rPr>
          <w:rFonts w:ascii="Times New Roman;serif" w:hAnsi="Times New Roman;serif"/>
          <w:b w:val="false"/>
          <w:color w:val="000000"/>
          <w:sz w:val="12"/>
        </w:rPr>
        <w:t>(p)</w:t>
      </w:r>
      <w:r>
        <w:rPr>
          <w:color w:val="000000"/>
        </w:rPr>
        <w:t>    </w:t>
      </w:r>
      <w:r>
        <w:rPr>
          <w:rFonts w:ascii="Times New Roman;serif" w:hAnsi="Times New Roman;serif"/>
          <w:b w:val="false"/>
          <w:color w:val="000000"/>
          <w:sz w:val="18"/>
        </w:rPr>
        <w:t>FTEs represent the average number of Nurse and Allied Staffing contract personnel on a full-time equivalent basis.</w:t>
      </w:r>
    </w:p>
    <w:p>
      <w:pPr>
        <w:pStyle w:val="TextBody"/>
        <w:bidi w:val="0"/>
        <w:spacing w:lineRule="auto" w:line="288" w:before="0" w:after="60"/>
        <w:ind w:left="0" w:right="0" w:hanging="360"/>
        <w:jc w:val="both"/>
        <w:rPr/>
      </w:pPr>
      <w:r>
        <w:rPr>
          <w:rFonts w:ascii="Times New Roman;serif" w:hAnsi="Times New Roman;serif"/>
          <w:b w:val="false"/>
          <w:color w:val="000000"/>
          <w:sz w:val="12"/>
        </w:rPr>
        <w:t>(q)</w:t>
      </w:r>
      <w:r>
        <w:rPr>
          <w:color w:val="000000"/>
        </w:rPr>
        <w:t>    </w:t>
      </w:r>
      <w:r>
        <w:rPr>
          <w:rFonts w:ascii="Times New Roman;serif" w:hAnsi="Times New Roman;serif"/>
          <w:b w:val="false"/>
          <w:color w:val="000000"/>
          <w:sz w:val="18"/>
        </w:rPr>
        <w:t>Average revenue per FTE per day is calculated by dividing the Nurse and Allied Staffing revenue, excluding permanent placement, per FTE by the number of days worked in the respective periods.</w:t>
      </w:r>
    </w:p>
    <w:p>
      <w:pPr>
        <w:pStyle w:val="TextBody"/>
        <w:bidi w:val="0"/>
        <w:spacing w:lineRule="auto" w:line="288" w:before="0" w:after="60"/>
        <w:ind w:left="0" w:right="0" w:hanging="360"/>
        <w:jc w:val="both"/>
        <w:rPr/>
      </w:pPr>
      <w:r>
        <w:rPr>
          <w:rFonts w:ascii="Times New Roman;serif" w:hAnsi="Times New Roman;serif"/>
          <w:b w:val="false"/>
          <w:color w:val="000000"/>
          <w:sz w:val="12"/>
        </w:rPr>
        <w:t>(r)</w:t>
      </w:r>
      <w:r>
        <w:rPr>
          <w:color w:val="000000"/>
        </w:rPr>
        <w:t>    </w:t>
      </w:r>
      <w:r>
        <w:rPr>
          <w:rFonts w:ascii="Times New Roman;serif" w:hAnsi="Times New Roman;serif"/>
          <w:b w:val="false"/>
          <w:color w:val="000000"/>
          <w:sz w:val="18"/>
        </w:rPr>
        <w:t xml:space="preserve">Days filled is calculated by dividing the total hours invoiced during the period, including an estimate for the impact of accrued revenue, by eight hours. </w:t>
      </w:r>
    </w:p>
    <w:p>
      <w:pPr>
        <w:pStyle w:val="TextBody"/>
        <w:bidi w:val="0"/>
        <w:spacing w:lineRule="auto" w:line="288" w:before="0" w:after="0"/>
        <w:ind w:left="0" w:right="0" w:hanging="360"/>
        <w:jc w:val="both"/>
        <w:rPr/>
      </w:pPr>
      <w:r>
        <w:rPr>
          <w:rFonts w:ascii="Times New Roman;serif" w:hAnsi="Times New Roman;serif"/>
          <w:b w:val="false"/>
          <w:color w:val="000000"/>
          <w:sz w:val="12"/>
        </w:rPr>
        <w:t>(s)</w:t>
      </w:r>
      <w:r>
        <w:rPr>
          <w:color w:val="000000"/>
        </w:rPr>
        <w:t>    </w:t>
      </w:r>
      <w:r>
        <w:rPr>
          <w:rFonts w:ascii="Times New Roman;serif" w:hAnsi="Times New Roman;serif"/>
          <w:b w:val="false"/>
          <w:color w:val="000000"/>
          <w:sz w:val="18"/>
        </w:rPr>
        <w:t>Revenue per day filled is calculated by dividing revenue as reported by days filled for the period presented.</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Cross Country Healthcare,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J. Burns, Executive Vice President &amp;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561-237-2555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wburns@crosscountry.com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Source: Cross Country Healthcare, Inc.</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4831</Words>
  <Characters>26965</Characters>
  <CharactersWithSpaces>31435</CharactersWithSpaces>
  <Paragraphs>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